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B3" w:rsidRPr="007A2CC3" w:rsidRDefault="004327B3" w:rsidP="007A2CC3">
      <w:pPr>
        <w:tabs>
          <w:tab w:val="left" w:pos="468"/>
        </w:tabs>
        <w:spacing w:line="288" w:lineRule="auto"/>
        <w:ind w:right="-398"/>
        <w:rPr>
          <w:rFonts w:ascii="Arial" w:hAnsi="Arial" w:cs="Arial"/>
          <w:bCs/>
        </w:rPr>
      </w:pPr>
      <w:bookmarkStart w:id="0" w:name="_GoBack"/>
      <w:bookmarkEnd w:id="0"/>
    </w:p>
    <w:p w:rsidR="007A2CC3" w:rsidRPr="007A2CC3" w:rsidRDefault="007A2CC3" w:rsidP="007A2CC3">
      <w:pPr>
        <w:spacing w:line="288" w:lineRule="auto"/>
        <w:rPr>
          <w:rFonts w:ascii="Arial" w:hAnsi="Arial" w:cs="Arial"/>
          <w:b/>
          <w:bCs/>
          <w:color w:val="FF0000"/>
        </w:rPr>
      </w:pPr>
      <w:r w:rsidRPr="007A2CC3">
        <w:rPr>
          <w:rFonts w:ascii="Arial" w:hAnsi="Arial" w:cs="Arial"/>
          <w:b/>
          <w:bCs/>
          <w:color w:val="FF0000"/>
        </w:rPr>
        <w:t>(Nota: os itens assinalados em cinza devem ser preenchidos ou avaliados quanto à pertinência à situação em questão. Ou ainda, podem servir de base para consultas.</w:t>
      </w:r>
      <w:proofErr w:type="gramStart"/>
      <w:r w:rsidRPr="007A2CC3">
        <w:rPr>
          <w:rFonts w:ascii="Arial" w:hAnsi="Arial" w:cs="Arial"/>
          <w:b/>
          <w:bCs/>
          <w:color w:val="FF0000"/>
        </w:rPr>
        <w:t>)</w:t>
      </w:r>
      <w:proofErr w:type="gramEnd"/>
    </w:p>
    <w:p w:rsidR="007A2CC3" w:rsidRPr="007A2CC3" w:rsidRDefault="007A2CC3" w:rsidP="007A2CC3">
      <w:pPr>
        <w:spacing w:line="288" w:lineRule="auto"/>
        <w:rPr>
          <w:rFonts w:ascii="Arial" w:hAnsi="Arial" w:cs="Arial"/>
          <w:bCs/>
          <w:highlight w:val="yellow"/>
        </w:rPr>
      </w:pPr>
    </w:p>
    <w:tbl>
      <w:tblPr>
        <w:tblW w:w="10471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1"/>
      </w:tblGrid>
      <w:tr w:rsidR="007A2CC3" w:rsidRPr="007A2CC3" w:rsidTr="007A2CC3">
        <w:tc>
          <w:tcPr>
            <w:tcW w:w="10471" w:type="dxa"/>
            <w:shd w:val="clear" w:color="auto" w:fill="F2DBDB"/>
          </w:tcPr>
          <w:p w:rsidR="007A2CC3" w:rsidRPr="007A2CC3" w:rsidRDefault="007A2CC3" w:rsidP="0021268E">
            <w:pPr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 xml:space="preserve">SETOR REQUISITANTE: </w:t>
            </w:r>
          </w:p>
        </w:tc>
      </w:tr>
      <w:tr w:rsidR="007A2CC3" w:rsidRPr="007A2CC3" w:rsidTr="007A2CC3">
        <w:tc>
          <w:tcPr>
            <w:tcW w:w="10471" w:type="dxa"/>
            <w:shd w:val="clear" w:color="auto" w:fill="F2DBDB"/>
          </w:tcPr>
          <w:p w:rsidR="007A2CC3" w:rsidRPr="007A2CC3" w:rsidRDefault="007A2CC3" w:rsidP="0021268E">
            <w:pPr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 xml:space="preserve">RESPONSÁVEL PELA DEMANDA: </w:t>
            </w:r>
          </w:p>
        </w:tc>
      </w:tr>
    </w:tbl>
    <w:p w:rsidR="007A2CC3" w:rsidRPr="007A2CC3" w:rsidRDefault="007A2CC3" w:rsidP="007A2CC3">
      <w:pPr>
        <w:spacing w:line="288" w:lineRule="auto"/>
        <w:rPr>
          <w:rFonts w:ascii="Arial" w:hAnsi="Arial" w:cs="Arial"/>
          <w:bCs/>
          <w:highlight w:val="yellow"/>
        </w:rPr>
      </w:pPr>
    </w:p>
    <w:p w:rsidR="007A2CC3" w:rsidRPr="007A2CC3" w:rsidRDefault="007A2CC3" w:rsidP="007A2CC3">
      <w:pPr>
        <w:spacing w:line="360" w:lineRule="auto"/>
        <w:ind w:firstLine="567"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O objetivo do presente estudo preliminar é demonstrar as características do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(OBJETO</w:t>
      </w:r>
      <w:r w:rsidRPr="007A2CC3">
        <w:rPr>
          <w:rFonts w:ascii="Arial" w:eastAsia="Calibri (Corpo)" w:hAnsi="Arial" w:cs="Arial"/>
          <w:bCs/>
          <w:lang w:eastAsia="en-US"/>
        </w:rPr>
        <w:t>). Além disso, verificar as opções de contratação existentes no mercado e as práticas adotadas, anteriormente, pelo Conselho Federal de Odontologia e pela Administração Pública, visando atender a fase essencial de planejamento da contratação.</w:t>
      </w:r>
    </w:p>
    <w:p w:rsidR="007A2CC3" w:rsidRPr="007A2CC3" w:rsidRDefault="007A2CC3" w:rsidP="007A2CC3">
      <w:pPr>
        <w:spacing w:line="360" w:lineRule="auto"/>
        <w:ind w:firstLine="567"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Para tanto, além de consulta à legislação pertinente, foram utilizados como parâmetros de pesquisa diversos editais de licitação com objeto similar ao pretendido por este Conselho, em especial os seguintes:</w:t>
      </w:r>
    </w:p>
    <w:p w:rsidR="007A2CC3" w:rsidRPr="007A2CC3" w:rsidRDefault="007A2CC3" w:rsidP="007A2CC3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</w:t>
      </w:r>
    </w:p>
    <w:p w:rsidR="007A2CC3" w:rsidRPr="007A2CC3" w:rsidRDefault="007A2CC3" w:rsidP="007A2CC3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</w:t>
      </w:r>
    </w:p>
    <w:p w:rsidR="007A2CC3" w:rsidRPr="007A2CC3" w:rsidRDefault="007A2CC3" w:rsidP="007A2CC3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</w:t>
      </w:r>
    </w:p>
    <w:p w:rsidR="007A2CC3" w:rsidRPr="007A2CC3" w:rsidRDefault="007A2CC3" w:rsidP="007A2CC3">
      <w:pPr>
        <w:numPr>
          <w:ilvl w:val="0"/>
          <w:numId w:val="5"/>
        </w:numPr>
        <w:spacing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</w:t>
      </w:r>
    </w:p>
    <w:p w:rsidR="007A2CC3" w:rsidRPr="007A2CC3" w:rsidRDefault="007A2CC3" w:rsidP="007A2CC3">
      <w:pPr>
        <w:spacing w:line="360" w:lineRule="auto"/>
        <w:ind w:left="927"/>
        <w:contextualSpacing/>
        <w:jc w:val="both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DIRETRIZES GERAIS PARA A ELABORAÇÃO DOS ESTUDOS PRELIMINARES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(item </w:t>
      </w:r>
      <w:proofErr w:type="gramStart"/>
      <w:r w:rsidRPr="007A2CC3">
        <w:rPr>
          <w:rFonts w:ascii="Arial" w:eastAsia="Calibri (Corpo)" w:hAnsi="Arial" w:cs="Arial"/>
          <w:bCs/>
          <w:u w:val="single"/>
          <w:lang w:eastAsia="en-US"/>
        </w:rPr>
        <w:t>2</w:t>
      </w:r>
      <w:proofErr w:type="gramEnd"/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Normativos que disciplinam os serviços a serem contratados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(letra “a” do item </w:t>
      </w:r>
      <w:proofErr w:type="gramStart"/>
      <w:r w:rsidRPr="007A2CC3">
        <w:rPr>
          <w:rFonts w:ascii="Arial" w:eastAsia="Calibri (Corpo)" w:hAnsi="Arial" w:cs="Arial"/>
          <w:bCs/>
          <w:u w:val="single"/>
          <w:lang w:eastAsia="en-US"/>
        </w:rPr>
        <w:t>2</w:t>
      </w:r>
      <w:proofErr w:type="gramEnd"/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Instrução Normativa MPDG/SG nº 5, de 26 de maio de 2017.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Resolução CFO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, que aprova o regulamento geral dos Conselhos de Odontologia.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Resolução CFO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, que dispõe sobre o Regimento do Conselho Federal de Contabilidade e dá outras providências.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Resolução CFO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, que aprovou o orçamento do CFO para o exercício de 2019.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Resolução CFO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, que aprova o Planejamento Estratégico do Sistema CFO/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CROs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para 2019/2020.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Lei nº 8.666/1993, que regulamente o art. 37, inciso XXI, da Constituição Federal, institui normas para licitações e contratos da Administração Pública e dá outras providências.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Lei nº 10.520/2002, que institui, nos termos do art. 37, inciso XXI, da Constituição Federal, a modalidade de licitação denominada pregão, para aquisição de bens e serviços comuns. 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Decreto nº 5.450/2005, que regulamenta o pregão, na forma eletrônica, para aquisição de bens e serviços comuns. 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Listar outras Leis, Decretos, Portarias, Instruções, Notas Técnicas, Decisões, pertinentes ao objeto.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Análise da contratação anterior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(letra “b” do item </w:t>
      </w:r>
      <w:proofErr w:type="gramStart"/>
      <w:r w:rsidRPr="007A2CC3">
        <w:rPr>
          <w:rFonts w:ascii="Arial" w:eastAsia="Calibri (Corpo)" w:hAnsi="Arial" w:cs="Arial"/>
          <w:bCs/>
          <w:u w:val="single"/>
          <w:lang w:eastAsia="en-US"/>
        </w:rPr>
        <w:t>2</w:t>
      </w:r>
      <w:proofErr w:type="gramEnd"/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A contratação anterior, realizada por meio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de (MODALIDADE),</w:t>
      </w:r>
      <w:r w:rsidRPr="007A2CC3">
        <w:rPr>
          <w:rFonts w:ascii="Arial" w:eastAsia="Calibri (Corpo)" w:hAnsi="Arial" w:cs="Arial"/>
          <w:bCs/>
          <w:lang w:eastAsia="en-US"/>
        </w:rPr>
        <w:t xml:space="preserve"> pautou-se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na (OBJETO).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lastRenderedPageBreak/>
        <w:t xml:space="preserve">Como está sendo/foi </w:t>
      </w: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a</w:t>
      </w:r>
      <w:proofErr w:type="gram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prestação dos serviços?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Como tem sido o uso da solução (objeto) para o Conselho?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Para a definição das diretrizes que serão utilizadas no processo licitatório visando á melhoria na contratação do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(OBJETO), </w:t>
      </w:r>
      <w:r w:rsidRPr="007A2CC3">
        <w:rPr>
          <w:rFonts w:ascii="Arial" w:eastAsia="Calibri (Corpo)" w:hAnsi="Arial" w:cs="Arial"/>
          <w:bCs/>
          <w:lang w:eastAsia="en-US"/>
        </w:rPr>
        <w:t xml:space="preserve">foi utilizado como parâmetro o edital de contratação realizado pelo CFO por meio do Pregão Eletrônico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</w:t>
      </w:r>
      <w:r w:rsidRPr="007A2CC3">
        <w:rPr>
          <w:rFonts w:ascii="Arial" w:eastAsia="Calibri (Corpo)" w:hAnsi="Arial" w:cs="Arial"/>
          <w:bCs/>
          <w:lang w:eastAsia="en-US"/>
        </w:rPr>
        <w:t>e o contrato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nº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</w:t>
      </w:r>
      <w:r w:rsidRPr="007A2CC3">
        <w:rPr>
          <w:rFonts w:ascii="Arial" w:eastAsia="Calibri (Corpo)" w:hAnsi="Arial" w:cs="Arial"/>
          <w:bCs/>
          <w:lang w:eastAsia="en-US"/>
        </w:rPr>
        <w:t xml:space="preserve">firmado com a empresa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, </w:t>
      </w:r>
      <w:r w:rsidRPr="007A2CC3">
        <w:rPr>
          <w:rFonts w:ascii="Arial" w:eastAsia="Calibri (Corpo)" w:hAnsi="Arial" w:cs="Arial"/>
          <w:bCs/>
          <w:lang w:eastAsia="en-US"/>
        </w:rPr>
        <w:t xml:space="preserve">bem como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xxxxxxx</w:t>
      </w:r>
      <w:proofErr w:type="spellEnd"/>
      <w:r w:rsidRPr="007A2CC3">
        <w:rPr>
          <w:rFonts w:ascii="Arial" w:eastAsia="Calibri (Corpo)" w:hAnsi="Arial" w:cs="Arial"/>
          <w:bCs/>
          <w:lang w:eastAsia="en-US"/>
        </w:rPr>
        <w:t xml:space="preserve">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(avaliar se é o caso.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Ex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: editais de licitação de outros órgãos).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Na análise da contratação anterior foram identificadas as seguintes situações que, embora não tenham prejudicado a qualidade da prestação de serviços, necessitam de revisão:</w:t>
      </w:r>
    </w:p>
    <w:p w:rsidR="007A2CC3" w:rsidRPr="007A2CC3" w:rsidRDefault="007A2CC3" w:rsidP="007A2CC3">
      <w:pPr>
        <w:numPr>
          <w:ilvl w:val="0"/>
          <w:numId w:val="6"/>
        </w:numPr>
        <w:spacing w:before="240" w:after="160" w:line="360" w:lineRule="auto"/>
        <w:ind w:left="709" w:firstLine="0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</w:t>
      </w:r>
      <w:proofErr w:type="gramEnd"/>
    </w:p>
    <w:p w:rsidR="007A2CC3" w:rsidRPr="007A2CC3" w:rsidRDefault="007A2CC3" w:rsidP="007A2CC3">
      <w:pPr>
        <w:numPr>
          <w:ilvl w:val="0"/>
          <w:numId w:val="6"/>
        </w:numPr>
        <w:spacing w:before="240" w:after="160" w:line="360" w:lineRule="auto"/>
        <w:ind w:left="709" w:firstLine="0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</w:t>
      </w:r>
      <w:proofErr w:type="gramEnd"/>
    </w:p>
    <w:p w:rsidR="007A2CC3" w:rsidRPr="007A2CC3" w:rsidRDefault="007A2CC3" w:rsidP="007A2CC3">
      <w:pPr>
        <w:numPr>
          <w:ilvl w:val="0"/>
          <w:numId w:val="6"/>
        </w:numPr>
        <w:spacing w:before="240" w:after="160" w:line="360" w:lineRule="auto"/>
        <w:ind w:left="709" w:firstLine="0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</w:t>
      </w:r>
      <w:proofErr w:type="gramEnd"/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284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Da nova contratação</w:t>
      </w:r>
    </w:p>
    <w:p w:rsidR="007A2CC3" w:rsidRPr="007A2CC3" w:rsidRDefault="007A2CC3" w:rsidP="007A2CC3">
      <w:pPr>
        <w:spacing w:before="240"/>
        <w:ind w:left="360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(continuidade da letra “b” do item </w:t>
      </w:r>
      <w:proofErr w:type="gramStart"/>
      <w:r w:rsidRPr="007A2CC3">
        <w:rPr>
          <w:rFonts w:ascii="Arial" w:eastAsia="Calibri (Corpo)" w:hAnsi="Arial" w:cs="Arial"/>
          <w:bCs/>
          <w:u w:val="single"/>
          <w:lang w:eastAsia="en-US"/>
        </w:rPr>
        <w:t>2</w:t>
      </w:r>
      <w:proofErr w:type="gramEnd"/>
      <w:r w:rsidRPr="007A2CC3">
        <w:rPr>
          <w:rFonts w:ascii="Arial" w:eastAsia="Calibri (Corpo)" w:hAnsi="Arial" w:cs="Arial"/>
          <w:bCs/>
          <w:u w:val="single"/>
          <w:lang w:eastAsia="en-US"/>
        </w:rPr>
        <w:t xml:space="preserve"> do anexo III da IN nº 5/2017)</w:t>
      </w:r>
    </w:p>
    <w:p w:rsidR="007A2CC3" w:rsidRPr="007A2CC3" w:rsidRDefault="007A2CC3" w:rsidP="007A2CC3">
      <w:pPr>
        <w:spacing w:before="240"/>
        <w:ind w:left="360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567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Adequações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567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Inclusões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567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Previsões</w:t>
      </w:r>
    </w:p>
    <w:p w:rsidR="007A2CC3" w:rsidRPr="007A2CC3" w:rsidRDefault="007A2CC3" w:rsidP="007A2CC3">
      <w:pPr>
        <w:spacing w:before="240" w:after="160" w:line="360" w:lineRule="auto"/>
        <w:ind w:left="567"/>
        <w:contextualSpacing/>
        <w:jc w:val="both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DIRETRIZES ESPECÍFICAS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>(item 3.1 do anexo III da IN nº 5/2017)</w:t>
      </w:r>
    </w:p>
    <w:p w:rsidR="007A2CC3" w:rsidRPr="007A2CC3" w:rsidRDefault="007A2CC3" w:rsidP="007A2CC3">
      <w:pPr>
        <w:spacing w:before="240"/>
        <w:ind w:left="360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Identificação da necessidade da contratação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>(letra “a” do item 3.1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Justificativa, objetivo.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Referência aos instrumentos de planejamento estratégico do CFO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u w:val="single"/>
          <w:lang w:eastAsia="en-US"/>
        </w:rPr>
        <w:t>(letra “a” do item 3.2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Para a realização da contratação foram avaliados os seguintes documentos: (listar os documentos pertinentes, conforme exemplos abaixo</w:t>
      </w: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)</w:t>
      </w:r>
      <w:proofErr w:type="gramEnd"/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 xml:space="preserve">Planejamento Estratégico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– Resolução CFO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</w:t>
      </w:r>
      <w:proofErr w:type="spellEnd"/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>Orçamento</w:t>
      </w:r>
      <w:r w:rsidRPr="007A2CC3">
        <w:rPr>
          <w:rFonts w:ascii="Arial" w:eastAsia="Calibri (Corpo)" w:hAnsi="Arial" w:cs="Arial"/>
          <w:b/>
          <w:bCs/>
          <w:highlight w:val="lightGray"/>
          <w:lang w:eastAsia="en-US"/>
        </w:rPr>
        <w:t xml:space="preserve"> </w:t>
      </w:r>
      <w:r w:rsidRPr="007A2CC3">
        <w:rPr>
          <w:rFonts w:ascii="Arial" w:eastAsia="Calibri (Corpo)" w:hAnsi="Arial" w:cs="Arial"/>
          <w:highlight w:val="lightGray"/>
          <w:lang w:eastAsia="en-US"/>
        </w:rPr>
        <w:t xml:space="preserve">– Resolução CFO </w:t>
      </w:r>
      <w:proofErr w:type="spellStart"/>
      <w:r w:rsidRPr="007A2CC3">
        <w:rPr>
          <w:rFonts w:ascii="Arial" w:eastAsia="Calibri (Corpo)" w:hAnsi="Arial" w:cs="Arial"/>
          <w:highlight w:val="lightGray"/>
          <w:lang w:eastAsia="en-US"/>
        </w:rPr>
        <w:t>xxxxxxx</w:t>
      </w:r>
      <w:proofErr w:type="spellEnd"/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 xml:space="preserve">Plano de Trabalho do CFO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– Projeto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</w:t>
      </w:r>
      <w:proofErr w:type="spellEnd"/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>Manuais</w:t>
      </w:r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>Portarias</w:t>
      </w:r>
    </w:p>
    <w:p w:rsidR="007A2CC3" w:rsidRPr="007A2CC3" w:rsidRDefault="007A2CC3" w:rsidP="007A2CC3">
      <w:pPr>
        <w:numPr>
          <w:ilvl w:val="0"/>
          <w:numId w:val="7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/>
          <w:highlight w:val="lightGray"/>
          <w:lang w:eastAsia="en-US"/>
        </w:rPr>
        <w:t>Códigos</w:t>
      </w:r>
    </w:p>
    <w:p w:rsidR="007A2CC3" w:rsidRPr="007A2CC3" w:rsidRDefault="007A2CC3" w:rsidP="007A2CC3">
      <w:pPr>
        <w:spacing w:before="240" w:line="360" w:lineRule="auto"/>
        <w:ind w:left="106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 </w:t>
      </w:r>
      <w:r w:rsidRPr="007A2CC3">
        <w:rPr>
          <w:rFonts w:ascii="Arial" w:eastAsia="Calibri (Corpo)" w:hAnsi="Arial" w:cs="Arial"/>
          <w:b/>
          <w:u w:val="single"/>
          <w:lang w:eastAsia="en-US"/>
        </w:rPr>
        <w:t>REQUISITOS DA CONTRATAÇÃO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3.3 do anexo III da IN nº 5/2017)</w:t>
      </w:r>
    </w:p>
    <w:p w:rsidR="007A2CC3" w:rsidRPr="007A2CC3" w:rsidRDefault="007A2CC3" w:rsidP="007A2CC3">
      <w:pPr>
        <w:spacing w:before="240"/>
        <w:ind w:left="360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Requisitos necessários ao atendimento da necessidade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“a”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Forma de prestação dos serviços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bookmarkStart w:id="1" w:name="_Hlk17982417"/>
      <w:r w:rsidRPr="007A2CC3">
        <w:rPr>
          <w:rFonts w:ascii="Arial" w:eastAsia="Calibri (Corpo)" w:hAnsi="Arial" w:cs="Arial"/>
          <w:b/>
          <w:lang w:eastAsia="en-US"/>
        </w:rPr>
        <w:t>Definição e justificativa da natureza continuada do serviço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“b”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lastRenderedPageBreak/>
        <w:t xml:space="preserve">Os serviços </w:t>
      </w:r>
      <w:bookmarkEnd w:id="1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serão prestados de forma contínua visando atender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xxxxxxxxxxxxxx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O objeto a ser contratado enquadra-se na categoria de bens e serviços comuns, de que tratam a Lei nº 10.520/2002 e o Decreto nº 5.450/2005, por possuir padrões de desempenho e características gerais e específicas, usualmente encontradas no mercado, podendo, portanto, ser licitado por meio da modalidade Pregão, na forma eletrônica.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A prestação do serviço não gera vínculo empregatício entre os funcionários da contratada e o CFO, vedando-se qualquer relação, entre esses, que caracterize pessoalidade e subordinação direta. 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Critérios e Práticas de Sustentabilidade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“c”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A empresa a ser contratada deverá declarar que atende aos requisitos de sustentabilidade previstos no art. 2º da Lei Distrital nº 4.770/2012, em conformidade com o Decreto nº 7.746/2012, que regulamenta o art. 3 da Lei nº 8.666/1993 para estabelecer critérios e práticas para a promoção do desenvolvimento nacional sustentável nas contratações realizadas pela administração pública federal direta, autárquica e fundacional e pelas empresas estatais dependentes, devendo ser observados os requisitos ambientais com menor impacto em relação aos seus similares.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Duração do contrato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“d”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O prazo de vigência do contrato será de 12 (doze) meses, iniciando a partir da data de sua assinatura, prevista para o dia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, podendo ser renovado, quando for comprovadamente vantajoso para o CFO, por iguais e sucessivos períodos, até o limite de 60 (sessenta) meses, desde que haja interesse formal da autoridade competente e observados os requisitos do art. 57, II, da Lei nº 8.666/93 c/c art. 15, Instrução Normativa nº 5, de 26 de maio de 2017. 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Necessidades de adequação e transição contratual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“e”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Caso se aplique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Soluções de mercado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(letra “f” do item 3.3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No mercado há diversas empresas que prestam serviços de 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(OBJETO)</w:t>
      </w:r>
      <w:r w:rsidRPr="007A2CC3">
        <w:rPr>
          <w:rFonts w:ascii="Arial" w:eastAsia="Calibri (Corpo)" w:hAnsi="Arial" w:cs="Arial"/>
          <w:bCs/>
          <w:lang w:eastAsia="en-US"/>
        </w:rPr>
        <w:t>, conforme demonstrado abaixo: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2787"/>
        <w:gridCol w:w="1252"/>
        <w:gridCol w:w="3313"/>
      </w:tblGrid>
      <w:tr w:rsidR="007A2CC3" w:rsidRPr="007A2CC3" w:rsidTr="007A2CC3">
        <w:tc>
          <w:tcPr>
            <w:tcW w:w="2643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Empresa</w:t>
            </w:r>
          </w:p>
        </w:tc>
        <w:tc>
          <w:tcPr>
            <w:tcW w:w="2787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Produto (caso se aplique)</w:t>
            </w:r>
          </w:p>
        </w:tc>
        <w:tc>
          <w:tcPr>
            <w:tcW w:w="1252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Telefone</w:t>
            </w:r>
          </w:p>
        </w:tc>
        <w:tc>
          <w:tcPr>
            <w:tcW w:w="3313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E-mail</w:t>
            </w: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7A2CC3" w:rsidRPr="007A2CC3" w:rsidTr="007A2CC3">
        <w:tc>
          <w:tcPr>
            <w:tcW w:w="264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787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52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13" w:type="dxa"/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:rsidR="007A2CC3" w:rsidRPr="007A2CC3" w:rsidRDefault="007A2CC3" w:rsidP="007A2CC3">
      <w:pPr>
        <w:spacing w:before="240" w:line="360" w:lineRule="auto"/>
        <w:ind w:left="106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 </w:t>
      </w:r>
      <w:r w:rsidRPr="007A2CC3">
        <w:rPr>
          <w:rFonts w:ascii="Arial" w:eastAsia="Calibri (Corpo)" w:hAnsi="Arial" w:cs="Arial"/>
          <w:b/>
          <w:u w:val="single"/>
          <w:lang w:eastAsia="en-US"/>
        </w:rPr>
        <w:t>ESTIMATIVAS DAS QUANTIDADES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3.4 do anexo III da IN nº 5/2017)</w:t>
      </w:r>
    </w:p>
    <w:p w:rsidR="007A2CC3" w:rsidRPr="007A2CC3" w:rsidRDefault="007A2CC3" w:rsidP="007A2CC3">
      <w:pPr>
        <w:spacing w:before="240"/>
        <w:ind w:left="360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259" w:lineRule="auto"/>
        <w:ind w:left="709" w:hanging="709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lang w:eastAsia="en-US"/>
        </w:rPr>
        <w:t>Definição do método para a estimativa das quantidades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3.4 letras “a”, “b”, “c” e “d” do anexo III da IN nº 5/2017</w:t>
      </w:r>
      <w:proofErr w:type="gramStart"/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)</w:t>
      </w:r>
      <w:proofErr w:type="gramEnd"/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..............</w:t>
      </w:r>
      <w:proofErr w:type="gramEnd"/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lastRenderedPageBreak/>
        <w:t>JUSTIFICATIVA DA ESCOLHA DO TIPO DE SOLUÇÃO A CONTRATAR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3.5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..............</w:t>
      </w:r>
      <w:proofErr w:type="gramEnd"/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ESTIMATIVAS DE PREÇOS OU PREÇOS REFERENCIAIS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3.6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..............</w:t>
      </w:r>
      <w:proofErr w:type="gramEnd"/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DESCRIÇÃO DA SOLUÇÃO COMO UM TODO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3.7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..............</w:t>
      </w:r>
      <w:proofErr w:type="gramEnd"/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JUSTIFICATIVA PARA PARCELAMENTO OU NÃO DA SOLUÇÃO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3.8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proofErr w:type="gram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..........</w:t>
      </w:r>
      <w:proofErr w:type="gramEnd"/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DEMONSTRATIVOS DOS RESULTADOS PRETENDIDOS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3.9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Economicidade: Que a contratação decorrente desse estudo acarrete para o CFO os menores custos possíveis na obtenção da proposta mais vantajosa com o menor </w:t>
      </w:r>
      <w:r w:rsidRPr="007A2CC3">
        <w:rPr>
          <w:rFonts w:ascii="Arial" w:eastAsia="Calibri (Corpo)" w:hAnsi="Arial" w:cs="Arial"/>
          <w:b/>
          <w:bCs/>
          <w:highlight w:val="lightGray"/>
          <w:u w:val="single"/>
          <w:lang w:eastAsia="en-US"/>
        </w:rPr>
        <w:t>preço unitário/taxa de administração/etc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., atendidos os critérios de prazo e qualidade.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Efetividade: 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Eficiência: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Eficácia:</w:t>
      </w:r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PROVIDÊNCIAS PARA ADEQUAÇÃO DO AMBIENTE DE TRABALHO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3.10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Adaptações no edifício/sistemas informatizados?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Treinamento?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Instalação e configuração de softwares?</w:t>
      </w:r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FISCALIZAÇÃO DO CONTRATO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 xml:space="preserve">(item </w:t>
      </w:r>
      <w:proofErr w:type="gramStart"/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4</w:t>
      </w:r>
      <w:proofErr w:type="gramEnd"/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 xml:space="preserve">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A fiscalização do contrato será realizada por fiscal efetivo ou fiscal substituto designado pela Administração, dentre os funcionários do Conselho Federal de Odontologia.</w:t>
      </w:r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DECLARAÇÃO DA VIABILIDADE DA CONTRATAÇÃO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(item 3.11 do anexo III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Os estudos preliminares evidenciaram que a contratação dos serviços de (OBJETO) mostra-se técnica e economicamente viável.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lastRenderedPageBreak/>
        <w:t>Conforme o que fora demonstrado neste Estudo, há orçamento disponível para contratação no exercício corrente e os objetivos estão alinhados ao Planejamento Estratégico do Sistema CFO/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CROs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.</w:t>
      </w: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Sendo assim, declara esta Equipe de Planejamento, que a contratação pretendida é viável e indispensável para a continuidade das atividades desenvolvidas nesta Autarquia Federal.</w:t>
      </w:r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259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GERENCIAMENTO DE RISCOS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u w:val="single"/>
          <w:lang w:eastAsia="en-US"/>
        </w:rPr>
        <w:t>(Art. 25 e Anexo IV da IN nº 5/2017)</w:t>
      </w:r>
    </w:p>
    <w:p w:rsidR="007A2CC3" w:rsidRPr="007A2CC3" w:rsidRDefault="007A2CC3" w:rsidP="007A2CC3">
      <w:pPr>
        <w:spacing w:before="240"/>
        <w:ind w:left="709"/>
        <w:contextualSpacing/>
        <w:jc w:val="both"/>
        <w:rPr>
          <w:rFonts w:ascii="Arial" w:eastAsia="Calibri (Corpo)" w:hAnsi="Arial" w:cs="Arial"/>
          <w:bCs/>
          <w:highlight w:val="lightGray"/>
          <w:u w:val="single"/>
          <w:lang w:eastAsia="en-US"/>
        </w:rPr>
      </w:pPr>
    </w:p>
    <w:p w:rsidR="007A2CC3" w:rsidRPr="007A2CC3" w:rsidRDefault="007A2CC3" w:rsidP="007A2CC3">
      <w:pPr>
        <w:numPr>
          <w:ilvl w:val="1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Assim como toda contratação, vislumbram-se alguns riscos que permeiam o processo de contratação e das ações para controle, prevenção e mitigação dos impactos.</w:t>
      </w: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Fase de análise: Planejamento da contratação e seleção do fornecedor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64"/>
      </w:tblGrid>
      <w:tr w:rsidR="007A2CC3" w:rsidRPr="007A2CC3" w:rsidTr="007A2CC3">
        <w:tc>
          <w:tcPr>
            <w:tcW w:w="10037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Risco 01 – Não aprovação dos parâmetros previstos no Termo de Referência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Média</w:t>
            </w:r>
          </w:p>
        </w:tc>
        <w:tc>
          <w:tcPr>
            <w:tcW w:w="246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64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Alta</w:t>
            </w:r>
          </w:p>
        </w:tc>
      </w:tr>
      <w:tr w:rsidR="007A2CC3" w:rsidRPr="007A2CC3" w:rsidTr="007A2CC3">
        <w:tc>
          <w:tcPr>
            <w:tcW w:w="10037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37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8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Impossibilidade de contratação de nova empresa</w:t>
            </w:r>
          </w:p>
          <w:p w:rsidR="007A2CC3" w:rsidRPr="007A2CC3" w:rsidRDefault="007A2CC3" w:rsidP="007A2CC3">
            <w:pPr>
              <w:numPr>
                <w:ilvl w:val="0"/>
                <w:numId w:val="8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Atraso na contratação</w:t>
            </w:r>
          </w:p>
          <w:p w:rsidR="007A2CC3" w:rsidRPr="007A2CC3" w:rsidRDefault="007A2CC3" w:rsidP="0021268E">
            <w:pPr>
              <w:ind w:left="175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310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9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Revisar os documentos primários, como o estudo preliminar, com o objetivo de mitigar possíveis divergências legais e técnicas para a realização do processo licitatório.</w:t>
            </w:r>
          </w:p>
        </w:tc>
        <w:tc>
          <w:tcPr>
            <w:tcW w:w="4310" w:type="dxa"/>
            <w:gridSpan w:val="2"/>
            <w:vMerge w:val="restart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Planejamento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9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Conhecer as regras para elaboração do Termo de Referência.</w:t>
            </w:r>
          </w:p>
        </w:tc>
        <w:tc>
          <w:tcPr>
            <w:tcW w:w="4310" w:type="dxa"/>
            <w:gridSpan w:val="2"/>
            <w:vMerge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310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0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Renovar o contrato com a empresa (ANTERIOR), em caráter excepcional, para prestação de serviços de (OBJETO), com vigência por até 12 (doze) meses até a conclusão do novo processo de contratação.</w:t>
            </w:r>
          </w:p>
        </w:tc>
        <w:tc>
          <w:tcPr>
            <w:tcW w:w="4310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Compras e Serviços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0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Retrabalho com a elaboração do estudo preliminar e termo de referência, de forma a convergir com as normas e critérios técnicos necessários.</w:t>
            </w:r>
          </w:p>
        </w:tc>
        <w:tc>
          <w:tcPr>
            <w:tcW w:w="4310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Planejamento</w:t>
            </w:r>
          </w:p>
        </w:tc>
      </w:tr>
    </w:tbl>
    <w:p w:rsidR="007A2CC3" w:rsidRPr="007A2CC3" w:rsidRDefault="007A2CC3" w:rsidP="007A2CC3">
      <w:pPr>
        <w:spacing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50"/>
      </w:tblGrid>
      <w:tr w:rsidR="007A2CC3" w:rsidRPr="007A2CC3" w:rsidTr="007A2CC3">
        <w:tc>
          <w:tcPr>
            <w:tcW w:w="10023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Risco 02 – Atraso na tramitação de documentos nas áreas competentes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Média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Alta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1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Atraso na conclusão do processo licitatório</w:t>
            </w:r>
          </w:p>
          <w:p w:rsidR="007A2CC3" w:rsidRPr="007A2CC3" w:rsidRDefault="007A2CC3" w:rsidP="0021268E">
            <w:pPr>
              <w:ind w:left="175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2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Reunião com os setores responsáveis para análise dos documentos necessários à contratação da nova empresa, a fim de acelerar o processo licitatório.</w:t>
            </w:r>
          </w:p>
        </w:tc>
        <w:tc>
          <w:tcPr>
            <w:tcW w:w="4296" w:type="dxa"/>
            <w:gridSpan w:val="2"/>
            <w:vMerge w:val="restart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Planejamento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2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Acompanhamento de todas as fases (interna e externa) do procedimento de contratação da nova empresa.</w:t>
            </w:r>
          </w:p>
        </w:tc>
        <w:tc>
          <w:tcPr>
            <w:tcW w:w="4296" w:type="dxa"/>
            <w:gridSpan w:val="2"/>
            <w:vMerge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3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 xml:space="preserve">Solicitar apoio dos setores responsáveis sobre a necessidade de </w:t>
            </w: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agilizar</w:t>
            </w:r>
            <w:proofErr w:type="gramEnd"/>
            <w:r w:rsidRPr="007A2CC3">
              <w:rPr>
                <w:rFonts w:ascii="Arial" w:hAnsi="Arial" w:cs="Arial"/>
                <w:bCs/>
                <w:highlight w:val="lightGray"/>
              </w:rPr>
              <w:t xml:space="preserve"> a tramitação do processo de contratação.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Planejamento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3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Renovar o contrato com a empresa (ANTERIOR), em caráter excepcional, para prestação de serviços de (OBJETO), com vigência por até 12 (doze) meses até a conclusão do novo processo de contratação.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Compras e Serviços</w:t>
            </w:r>
          </w:p>
        </w:tc>
      </w:tr>
    </w:tbl>
    <w:p w:rsidR="007A2CC3" w:rsidRPr="007A2CC3" w:rsidRDefault="007A2CC3" w:rsidP="007A2CC3">
      <w:pPr>
        <w:spacing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50"/>
      </w:tblGrid>
      <w:tr w:rsidR="007A2CC3" w:rsidRPr="007A2CC3" w:rsidTr="007A2CC3">
        <w:tc>
          <w:tcPr>
            <w:tcW w:w="10023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lastRenderedPageBreak/>
              <w:t>Risco 03 – Licitação deserta ou fracassada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Média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Alta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4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Impossibilidade de contratação de nova empresa</w:t>
            </w:r>
          </w:p>
          <w:p w:rsidR="007A2CC3" w:rsidRPr="007A2CC3" w:rsidRDefault="007A2CC3" w:rsidP="0021268E">
            <w:pPr>
              <w:ind w:left="175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5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 xml:space="preserve">Conhecer o objeto a ser contratado e as práticas adotadas no mercado por empresas para prestação de serviços de (OBJETO), visando evitar restringir o objeto a </w:t>
            </w: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poucas ou nenhuma empresa</w:t>
            </w:r>
            <w:proofErr w:type="gramEnd"/>
            <w:r w:rsidRPr="007A2CC3">
              <w:rPr>
                <w:rFonts w:ascii="Arial" w:hAnsi="Arial" w:cs="Arial"/>
                <w:bCs/>
                <w:highlight w:val="lightGray"/>
              </w:rPr>
              <w:t>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Planejamento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5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Exigir documentos para habilitações de empresas compatíveis com o mercado.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Compras e Serviços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6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Adotar os critérios de dispensa de licitação para os casos de licitação deserta, conforme o Art. 24 da Lei 8.666/93.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Compras e Serviços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6"/>
              </w:numPr>
              <w:ind w:left="175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Renovar o contrato com a empresa (ANTERIOR), em caráter excepcional, para prestação de serviços de (OBJETO), com vigência por até 12 (doze) meses até a conclusão do novo processo de contratação.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Compras e Serviços</w:t>
            </w:r>
          </w:p>
        </w:tc>
      </w:tr>
    </w:tbl>
    <w:p w:rsidR="007A2CC3" w:rsidRPr="007A2CC3" w:rsidRDefault="007A2CC3" w:rsidP="007A2CC3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7A2CC3" w:rsidRPr="007A2CC3" w:rsidRDefault="007A2CC3" w:rsidP="007A2CC3">
      <w:pPr>
        <w:numPr>
          <w:ilvl w:val="2"/>
          <w:numId w:val="4"/>
        </w:numPr>
        <w:spacing w:before="240" w:after="160" w:line="360" w:lineRule="auto"/>
        <w:ind w:left="709" w:hanging="709"/>
        <w:contextualSpacing/>
        <w:jc w:val="both"/>
        <w:rPr>
          <w:rFonts w:ascii="Arial" w:eastAsia="Calibri (Corpo)" w:hAnsi="Arial" w:cs="Arial"/>
          <w:bCs/>
          <w:highlight w:val="lightGray"/>
          <w:lang w:eastAsia="en-US"/>
        </w:rPr>
      </w:pPr>
      <w:r w:rsidRPr="007A2CC3">
        <w:rPr>
          <w:rFonts w:ascii="Arial" w:eastAsia="Calibri (Corpo)" w:hAnsi="Arial" w:cs="Arial"/>
          <w:bCs/>
          <w:highlight w:val="lightGray"/>
          <w:lang w:eastAsia="en-US"/>
        </w:rPr>
        <w:t>Fase de análise: Gestão do Contrato</w:t>
      </w:r>
    </w:p>
    <w:p w:rsidR="007A2CC3" w:rsidRPr="007A2CC3" w:rsidRDefault="007A2CC3" w:rsidP="007A2CC3">
      <w:pPr>
        <w:spacing w:before="240"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50"/>
      </w:tblGrid>
      <w:tr w:rsidR="007A2CC3" w:rsidRPr="007A2CC3" w:rsidTr="007A2CC3">
        <w:tc>
          <w:tcPr>
            <w:tcW w:w="10023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Risco 04 – Descumprimento de cláusulas contratuais por parte da contratada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Média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Média</w:t>
            </w:r>
          </w:p>
        </w:tc>
        <w:tc>
          <w:tcPr>
            <w:tcW w:w="2450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7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....</w:t>
            </w:r>
            <w:proofErr w:type="gramEnd"/>
          </w:p>
          <w:p w:rsidR="007A2CC3" w:rsidRPr="007A2CC3" w:rsidRDefault="007A2CC3" w:rsidP="007A2CC3">
            <w:pPr>
              <w:numPr>
                <w:ilvl w:val="0"/>
                <w:numId w:val="17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.....</w:t>
            </w:r>
            <w:proofErr w:type="gramEnd"/>
          </w:p>
          <w:p w:rsidR="007A2CC3" w:rsidRPr="007A2CC3" w:rsidRDefault="007A2CC3" w:rsidP="007A2CC3">
            <w:pPr>
              <w:numPr>
                <w:ilvl w:val="0"/>
                <w:numId w:val="17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.....</w:t>
            </w:r>
            <w:proofErr w:type="gramEnd"/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8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Acompanhamento e verificação da qualidade do serviço prestado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Fiscalização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19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 xml:space="preserve">Incentivo à solução dos desvios de qualidade por meio de aplicação das sanções cabíveis, de forma a coibir a reincidência. 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Gestor do contrato com auxílio da equipe de fiscalização</w:t>
            </w:r>
          </w:p>
        </w:tc>
      </w:tr>
    </w:tbl>
    <w:p w:rsidR="007A2CC3" w:rsidRPr="007A2CC3" w:rsidRDefault="007A2CC3" w:rsidP="007A2CC3">
      <w:pPr>
        <w:spacing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50"/>
      </w:tblGrid>
      <w:tr w:rsidR="007A2CC3" w:rsidRPr="007A2CC3" w:rsidTr="007A2CC3">
        <w:tc>
          <w:tcPr>
            <w:tcW w:w="10023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Risco 05 – Rescisão do contrato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Alta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20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Não execução do objeto contratado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21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Acompanhamento da execução do contrato.</w:t>
            </w:r>
          </w:p>
          <w:p w:rsidR="007A2CC3" w:rsidRPr="007A2CC3" w:rsidRDefault="007A2CC3" w:rsidP="007A2CC3">
            <w:pPr>
              <w:numPr>
                <w:ilvl w:val="0"/>
                <w:numId w:val="21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Notificação à empresa e aplicação das sanções cabíveis.</w:t>
            </w: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Equipe de Fiscalização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22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 xml:space="preserve">Efetuar novo processo de contratação, utilizando o registro de ocorrências e a </w:t>
            </w:r>
            <w:proofErr w:type="spellStart"/>
            <w:r w:rsidRPr="007A2CC3">
              <w:rPr>
                <w:rFonts w:ascii="Arial" w:hAnsi="Arial" w:cs="Arial"/>
                <w:bCs/>
                <w:highlight w:val="lightGray"/>
              </w:rPr>
              <w:t>experiencia</w:t>
            </w:r>
            <w:proofErr w:type="spellEnd"/>
            <w:r w:rsidRPr="007A2CC3">
              <w:rPr>
                <w:rFonts w:ascii="Arial" w:hAnsi="Arial" w:cs="Arial"/>
                <w:bCs/>
                <w:highlight w:val="lightGray"/>
              </w:rPr>
              <w:t xml:space="preserve"> adquirida no processo de gestão do contrato, visando melhorar o estudo preliminar e o termo de referência para a nova contratação.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lightGray"/>
              </w:rPr>
            </w:pP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lastRenderedPageBreak/>
              <w:t>Equipe de planejamento</w:t>
            </w:r>
          </w:p>
        </w:tc>
      </w:tr>
    </w:tbl>
    <w:p w:rsidR="007A2CC3" w:rsidRPr="007A2CC3" w:rsidRDefault="007A2CC3" w:rsidP="007A2CC3">
      <w:pPr>
        <w:spacing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3241"/>
        <w:gridCol w:w="1846"/>
        <w:gridCol w:w="2450"/>
      </w:tblGrid>
      <w:tr w:rsidR="007A2CC3" w:rsidRPr="007A2CC3" w:rsidTr="007A2CC3">
        <w:tc>
          <w:tcPr>
            <w:tcW w:w="10023" w:type="dxa"/>
            <w:gridSpan w:val="4"/>
            <w:shd w:val="clear" w:color="auto" w:fill="A6A6A6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Risco 06 – Falta de pessoal técnico para fiscalização do contrato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Probabilidade: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Baixa</w:t>
            </w: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Alta</w:t>
            </w:r>
          </w:p>
        </w:tc>
      </w:tr>
      <w:tr w:rsidR="007A2CC3" w:rsidRPr="007A2CC3" w:rsidTr="007A2CC3">
        <w:tc>
          <w:tcPr>
            <w:tcW w:w="2486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Impacto</w:t>
            </w:r>
          </w:p>
        </w:tc>
        <w:tc>
          <w:tcPr>
            <w:tcW w:w="3241" w:type="dxa"/>
            <w:tcBorders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Baixa</w:t>
            </w:r>
          </w:p>
        </w:tc>
        <w:tc>
          <w:tcPr>
            <w:tcW w:w="1846" w:type="dxa"/>
            <w:tcBorders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proofErr w:type="gramStart"/>
            <w:r w:rsidRPr="007A2CC3">
              <w:rPr>
                <w:rFonts w:ascii="Arial" w:hAnsi="Arial" w:cs="Arial"/>
                <w:bCs/>
              </w:rPr>
              <w:t xml:space="preserve">(  </w:t>
            </w:r>
            <w:proofErr w:type="gramEnd"/>
            <w:r w:rsidRPr="007A2CC3">
              <w:rPr>
                <w:rFonts w:ascii="Arial" w:hAnsi="Arial" w:cs="Arial"/>
                <w:bCs/>
              </w:rPr>
              <w:t>) Média</w:t>
            </w:r>
          </w:p>
        </w:tc>
        <w:tc>
          <w:tcPr>
            <w:tcW w:w="2450" w:type="dxa"/>
            <w:tcBorders>
              <w:lef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(x) Alta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Dano</w:t>
            </w:r>
          </w:p>
        </w:tc>
      </w:tr>
      <w:tr w:rsidR="007A2CC3" w:rsidRPr="007A2CC3" w:rsidTr="007A2CC3">
        <w:tc>
          <w:tcPr>
            <w:tcW w:w="10023" w:type="dxa"/>
            <w:gridSpan w:val="4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23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Falta de comprometimento na aferição dos serviços</w:t>
            </w:r>
          </w:p>
          <w:p w:rsidR="007A2CC3" w:rsidRPr="007A2CC3" w:rsidRDefault="007A2CC3" w:rsidP="007A2CC3">
            <w:pPr>
              <w:numPr>
                <w:ilvl w:val="0"/>
                <w:numId w:val="23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Atrasos na emissão do termo de recebimento dos serviços</w:t>
            </w:r>
          </w:p>
          <w:p w:rsidR="007A2CC3" w:rsidRPr="007A2CC3" w:rsidRDefault="007A2CC3" w:rsidP="007A2CC3">
            <w:pPr>
              <w:numPr>
                <w:ilvl w:val="0"/>
                <w:numId w:val="23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Não prestação do serviço ou prestação do serviço com baixa qualidade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Ação Preventiva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</w:tcPr>
          <w:p w:rsidR="007A2CC3" w:rsidRPr="007A2CC3" w:rsidRDefault="007A2CC3" w:rsidP="007A2CC3">
            <w:pPr>
              <w:numPr>
                <w:ilvl w:val="0"/>
                <w:numId w:val="24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Treinar novos fiscais de contrato (gestor e fiscal administrativo)</w:t>
            </w:r>
          </w:p>
          <w:p w:rsidR="007A2CC3" w:rsidRPr="007A2CC3" w:rsidRDefault="007A2CC3" w:rsidP="007A2CC3">
            <w:pPr>
              <w:numPr>
                <w:ilvl w:val="0"/>
                <w:numId w:val="24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 xml:space="preserve">Realizar, periodicamente, treinamento para capacitação em fiscalização de </w:t>
            </w:r>
            <w:proofErr w:type="gramStart"/>
            <w:r w:rsidRPr="007A2CC3">
              <w:rPr>
                <w:rFonts w:ascii="Arial" w:hAnsi="Arial" w:cs="Arial"/>
                <w:bCs/>
                <w:highlight w:val="lightGray"/>
              </w:rPr>
              <w:t>contratos</w:t>
            </w:r>
            <w:proofErr w:type="gramEnd"/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Recursos Humanos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Ação de Contingência</w:t>
            </w:r>
          </w:p>
        </w:tc>
        <w:tc>
          <w:tcPr>
            <w:tcW w:w="4296" w:type="dxa"/>
            <w:gridSpan w:val="2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7A2CC3">
              <w:rPr>
                <w:rFonts w:ascii="Arial" w:hAnsi="Arial" w:cs="Arial"/>
                <w:b/>
              </w:rPr>
              <w:t>Responsável</w:t>
            </w:r>
          </w:p>
        </w:tc>
      </w:tr>
      <w:tr w:rsidR="007A2CC3" w:rsidRPr="007A2CC3" w:rsidTr="007A2CC3">
        <w:tc>
          <w:tcPr>
            <w:tcW w:w="5727" w:type="dxa"/>
            <w:gridSpan w:val="2"/>
            <w:shd w:val="clear" w:color="auto" w:fill="auto"/>
            <w:vAlign w:val="center"/>
          </w:tcPr>
          <w:p w:rsidR="007A2CC3" w:rsidRPr="007A2CC3" w:rsidRDefault="007A2CC3" w:rsidP="007A2CC3">
            <w:pPr>
              <w:numPr>
                <w:ilvl w:val="0"/>
                <w:numId w:val="25"/>
              </w:numPr>
              <w:ind w:left="168" w:firstLine="0"/>
              <w:jc w:val="both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Nomear novos fiscais de contrato.</w:t>
            </w:r>
          </w:p>
          <w:p w:rsidR="007A2CC3" w:rsidRPr="007A2CC3" w:rsidRDefault="007A2CC3" w:rsidP="0021268E">
            <w:pPr>
              <w:ind w:left="168"/>
              <w:jc w:val="both"/>
              <w:rPr>
                <w:rFonts w:ascii="Arial" w:hAnsi="Arial" w:cs="Arial"/>
                <w:bCs/>
                <w:highlight w:val="lightGray"/>
              </w:rPr>
            </w:pPr>
          </w:p>
        </w:tc>
        <w:tc>
          <w:tcPr>
            <w:tcW w:w="4296" w:type="dxa"/>
            <w:gridSpan w:val="2"/>
            <w:shd w:val="clear" w:color="auto" w:fill="auto"/>
            <w:vAlign w:val="center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highlight w:val="lightGray"/>
              </w:rPr>
            </w:pPr>
            <w:r w:rsidRPr="007A2CC3">
              <w:rPr>
                <w:rFonts w:ascii="Arial" w:hAnsi="Arial" w:cs="Arial"/>
                <w:bCs/>
                <w:highlight w:val="lightGray"/>
              </w:rPr>
              <w:t>Setor de Recursos Humanos</w:t>
            </w:r>
          </w:p>
        </w:tc>
      </w:tr>
    </w:tbl>
    <w:p w:rsidR="007A2CC3" w:rsidRPr="007A2CC3" w:rsidRDefault="007A2CC3" w:rsidP="007A2CC3">
      <w:pPr>
        <w:spacing w:line="360" w:lineRule="auto"/>
        <w:ind w:left="709"/>
        <w:contextualSpacing/>
        <w:jc w:val="both"/>
        <w:rPr>
          <w:rFonts w:ascii="Arial" w:eastAsia="Calibri (Corpo)" w:hAnsi="Arial" w:cs="Arial"/>
          <w:bCs/>
          <w:highlight w:val="yellow"/>
          <w:lang w:eastAsia="en-US"/>
        </w:rPr>
      </w:pPr>
    </w:p>
    <w:p w:rsidR="007A2CC3" w:rsidRPr="007A2CC3" w:rsidRDefault="007A2CC3" w:rsidP="007A2CC3">
      <w:pPr>
        <w:numPr>
          <w:ilvl w:val="0"/>
          <w:numId w:val="4"/>
        </w:numPr>
        <w:spacing w:before="240" w:after="160" w:line="360" w:lineRule="auto"/>
        <w:contextualSpacing/>
        <w:jc w:val="both"/>
        <w:rPr>
          <w:rFonts w:ascii="Arial" w:eastAsia="Calibri (Corpo)" w:hAnsi="Arial" w:cs="Arial"/>
          <w:bCs/>
          <w:u w:val="single"/>
          <w:lang w:eastAsia="en-US"/>
        </w:rPr>
      </w:pPr>
      <w:r w:rsidRPr="007A2CC3">
        <w:rPr>
          <w:rFonts w:ascii="Arial" w:eastAsia="Calibri (Corpo)" w:hAnsi="Arial" w:cs="Arial"/>
          <w:b/>
          <w:u w:val="single"/>
          <w:lang w:eastAsia="en-US"/>
        </w:rPr>
        <w:t>APROVAÇÃO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977"/>
        <w:gridCol w:w="3402"/>
      </w:tblGrid>
      <w:tr w:rsidR="007A2CC3" w:rsidRPr="007A2CC3" w:rsidTr="007A2CC3">
        <w:tc>
          <w:tcPr>
            <w:tcW w:w="9923" w:type="dxa"/>
            <w:gridSpan w:val="3"/>
            <w:shd w:val="clear" w:color="auto" w:fill="C00000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EQUIPE DE PLANEJAMENTO</w:t>
            </w:r>
          </w:p>
        </w:tc>
      </w:tr>
      <w:tr w:rsidR="007A2CC3" w:rsidRPr="007A2CC3" w:rsidTr="007A2CC3">
        <w:tc>
          <w:tcPr>
            <w:tcW w:w="3544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Integrante</w:t>
            </w:r>
          </w:p>
        </w:tc>
        <w:tc>
          <w:tcPr>
            <w:tcW w:w="2977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Integrante</w:t>
            </w:r>
          </w:p>
        </w:tc>
        <w:tc>
          <w:tcPr>
            <w:tcW w:w="3402" w:type="dxa"/>
            <w:shd w:val="clear" w:color="auto" w:fill="D9D9D9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/>
              </w:rPr>
            </w:pPr>
            <w:r w:rsidRPr="007A2CC3">
              <w:rPr>
                <w:rFonts w:ascii="Arial" w:hAnsi="Arial" w:cs="Arial"/>
                <w:b/>
              </w:rPr>
              <w:t>Integrante</w:t>
            </w:r>
          </w:p>
        </w:tc>
      </w:tr>
      <w:tr w:rsidR="007A2CC3" w:rsidRPr="007A2CC3" w:rsidTr="007A2CC3">
        <w:tc>
          <w:tcPr>
            <w:tcW w:w="3544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5"/>
            </w:tblGrid>
            <w:tr w:rsidR="007A2CC3" w:rsidRPr="007A2CC3" w:rsidTr="0021268E">
              <w:tc>
                <w:tcPr>
                  <w:tcW w:w="26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7A2CC3" w:rsidRPr="007A2CC3" w:rsidRDefault="007A2CC3" w:rsidP="0021268E">
                  <w:pPr>
                    <w:jc w:val="both"/>
                    <w:rPr>
                      <w:rFonts w:ascii="Arial" w:hAnsi="Arial" w:cs="Arial"/>
                      <w:bCs/>
                      <w:u w:val="single"/>
                    </w:rPr>
                  </w:pPr>
                </w:p>
              </w:tc>
            </w:tr>
          </w:tbl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Nome do integrante</w:t>
            </w:r>
          </w:p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Matrícula do integrante</w:t>
            </w:r>
          </w:p>
        </w:tc>
        <w:tc>
          <w:tcPr>
            <w:tcW w:w="2977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5"/>
            </w:tblGrid>
            <w:tr w:rsidR="007A2CC3" w:rsidRPr="007A2CC3" w:rsidTr="0021268E">
              <w:tc>
                <w:tcPr>
                  <w:tcW w:w="26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7A2CC3" w:rsidRPr="007A2CC3" w:rsidRDefault="007A2CC3" w:rsidP="0021268E">
                  <w:pPr>
                    <w:jc w:val="both"/>
                    <w:rPr>
                      <w:rFonts w:ascii="Arial" w:hAnsi="Arial" w:cs="Arial"/>
                      <w:bCs/>
                      <w:u w:val="single"/>
                    </w:rPr>
                  </w:pPr>
                </w:p>
              </w:tc>
            </w:tr>
          </w:tbl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Nome do integrante</w:t>
            </w:r>
          </w:p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Matrícula do integrante</w:t>
            </w:r>
          </w:p>
        </w:tc>
        <w:tc>
          <w:tcPr>
            <w:tcW w:w="3402" w:type="dxa"/>
            <w:shd w:val="clear" w:color="auto" w:fill="auto"/>
          </w:tcPr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p w:rsidR="007A2CC3" w:rsidRPr="007A2CC3" w:rsidRDefault="007A2CC3" w:rsidP="0021268E">
            <w:pPr>
              <w:jc w:val="both"/>
              <w:rPr>
                <w:rFonts w:ascii="Arial" w:hAnsi="Arial" w:cs="Arial"/>
                <w:bCs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5"/>
            </w:tblGrid>
            <w:tr w:rsidR="007A2CC3" w:rsidRPr="007A2CC3" w:rsidTr="0021268E">
              <w:tc>
                <w:tcPr>
                  <w:tcW w:w="26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7A2CC3" w:rsidRPr="007A2CC3" w:rsidRDefault="007A2CC3" w:rsidP="0021268E">
                  <w:pPr>
                    <w:jc w:val="both"/>
                    <w:rPr>
                      <w:rFonts w:ascii="Arial" w:hAnsi="Arial" w:cs="Arial"/>
                      <w:bCs/>
                      <w:u w:val="single"/>
                    </w:rPr>
                  </w:pPr>
                </w:p>
              </w:tc>
            </w:tr>
          </w:tbl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Nome do integrante</w:t>
            </w:r>
          </w:p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</w:rPr>
            </w:pPr>
            <w:r w:rsidRPr="007A2CC3">
              <w:rPr>
                <w:rFonts w:ascii="Arial" w:hAnsi="Arial" w:cs="Arial"/>
                <w:bCs/>
              </w:rPr>
              <w:t>Matrícula do integrante</w:t>
            </w:r>
          </w:p>
        </w:tc>
      </w:tr>
    </w:tbl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 w:line="360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 xml:space="preserve">Brasília,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</w:t>
      </w:r>
      <w:proofErr w:type="spellEnd"/>
      <w:r w:rsidRPr="007A2CC3">
        <w:rPr>
          <w:rFonts w:ascii="Arial" w:eastAsia="Calibri (Corpo)" w:hAnsi="Arial" w:cs="Arial"/>
          <w:bCs/>
          <w:highlight w:val="lightGray"/>
          <w:lang w:eastAsia="en-US"/>
        </w:rPr>
        <w:t xml:space="preserve"> de </w:t>
      </w:r>
      <w:proofErr w:type="spellStart"/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xxxxxxx</w:t>
      </w:r>
      <w:proofErr w:type="spellEnd"/>
      <w:r w:rsidRPr="007A2CC3">
        <w:rPr>
          <w:rFonts w:ascii="Arial" w:eastAsia="Calibri (Corpo)" w:hAnsi="Arial" w:cs="Arial"/>
          <w:bCs/>
          <w:lang w:eastAsia="en-US"/>
        </w:rPr>
        <w:t xml:space="preserve"> de 20</w:t>
      </w:r>
      <w:r w:rsidRPr="007A2CC3">
        <w:rPr>
          <w:rFonts w:ascii="Arial" w:eastAsia="Calibri (Corpo)" w:hAnsi="Arial" w:cs="Arial"/>
          <w:bCs/>
          <w:highlight w:val="lightGray"/>
          <w:lang w:eastAsia="en-US"/>
        </w:rPr>
        <w:t>xx</w:t>
      </w:r>
      <w:r w:rsidRPr="007A2CC3">
        <w:rPr>
          <w:rFonts w:ascii="Arial" w:eastAsia="Calibri (Corpo)" w:hAnsi="Arial" w:cs="Arial"/>
          <w:bCs/>
          <w:lang w:eastAsia="en-US"/>
        </w:rPr>
        <w:t>.</w:t>
      </w:r>
    </w:p>
    <w:p w:rsidR="007A2CC3" w:rsidRPr="007A2CC3" w:rsidRDefault="007A2CC3" w:rsidP="007A2CC3">
      <w:pPr>
        <w:spacing w:before="240"/>
        <w:contextualSpacing/>
        <w:jc w:val="center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Aprovo o presente Estudo Preliminar</w:t>
      </w:r>
    </w:p>
    <w:p w:rsidR="007A2CC3" w:rsidRPr="007A2CC3" w:rsidRDefault="007A2CC3" w:rsidP="007A2CC3">
      <w:pPr>
        <w:spacing w:before="240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before="240"/>
        <w:contextualSpacing/>
        <w:jc w:val="center"/>
        <w:rPr>
          <w:rFonts w:ascii="Arial" w:eastAsia="Calibri (Corpo)" w:hAnsi="Arial" w:cs="Arial"/>
          <w:bCs/>
          <w:lang w:eastAsia="en-US"/>
        </w:rPr>
      </w:pPr>
    </w:p>
    <w:p w:rsidR="007A2CC3" w:rsidRPr="007A2CC3" w:rsidRDefault="007A2CC3" w:rsidP="007A2CC3">
      <w:pPr>
        <w:spacing w:line="259" w:lineRule="auto"/>
        <w:contextualSpacing/>
        <w:jc w:val="center"/>
        <w:rPr>
          <w:rFonts w:ascii="Arial" w:eastAsia="Calibri (Corpo)" w:hAnsi="Arial" w:cs="Arial"/>
          <w:bCs/>
          <w:u w:val="single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</w:tblGrid>
      <w:tr w:rsidR="007A2CC3" w:rsidRPr="007A2CC3" w:rsidTr="0021268E">
        <w:trPr>
          <w:jc w:val="center"/>
        </w:trPr>
        <w:tc>
          <w:tcPr>
            <w:tcW w:w="260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A2CC3" w:rsidRPr="007A2CC3" w:rsidRDefault="007A2CC3" w:rsidP="0021268E">
            <w:pPr>
              <w:jc w:val="center"/>
              <w:rPr>
                <w:rFonts w:ascii="Arial" w:hAnsi="Arial" w:cs="Arial"/>
                <w:bCs/>
                <w:u w:val="single"/>
              </w:rPr>
            </w:pPr>
          </w:p>
        </w:tc>
      </w:tr>
    </w:tbl>
    <w:p w:rsidR="007A2CC3" w:rsidRPr="007A2CC3" w:rsidRDefault="007A2CC3" w:rsidP="007A2CC3">
      <w:pPr>
        <w:spacing w:line="259" w:lineRule="auto"/>
        <w:contextualSpacing/>
        <w:jc w:val="center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(Nome e assinatura do Presidente do CFO)</w:t>
      </w:r>
    </w:p>
    <w:p w:rsidR="007A2CC3" w:rsidRPr="007A2CC3" w:rsidRDefault="007A2CC3" w:rsidP="007A2CC3">
      <w:pPr>
        <w:spacing w:before="240"/>
        <w:contextualSpacing/>
        <w:jc w:val="center"/>
        <w:rPr>
          <w:rFonts w:ascii="Arial" w:eastAsia="Calibri (Corpo)" w:hAnsi="Arial" w:cs="Arial"/>
          <w:bCs/>
          <w:lang w:eastAsia="en-US"/>
        </w:rPr>
      </w:pPr>
      <w:r w:rsidRPr="007A2CC3">
        <w:rPr>
          <w:rFonts w:ascii="Arial" w:eastAsia="Calibri (Corpo)" w:hAnsi="Arial" w:cs="Arial"/>
          <w:bCs/>
          <w:lang w:eastAsia="en-US"/>
        </w:rPr>
        <w:t>PRESIDENTE</w:t>
      </w:r>
    </w:p>
    <w:p w:rsidR="007A2CC3" w:rsidRPr="007A2CC3" w:rsidRDefault="007A2CC3" w:rsidP="007A2CC3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4327B3" w:rsidRPr="007A2CC3" w:rsidRDefault="004327B3" w:rsidP="007A2CC3">
      <w:pPr>
        <w:spacing w:line="360" w:lineRule="auto"/>
        <w:ind w:left="-406" w:right="-398"/>
        <w:jc w:val="both"/>
        <w:rPr>
          <w:rFonts w:ascii="Arial" w:hAnsi="Arial" w:cs="Arial"/>
          <w:bCs/>
        </w:rPr>
      </w:pPr>
    </w:p>
    <w:sectPr w:rsidR="004327B3" w:rsidRPr="007A2CC3" w:rsidSect="007A2CC3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736" w:bottom="1701" w:left="1134" w:header="1134" w:footer="45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96" w:rsidRDefault="00256296">
      <w:r>
        <w:separator/>
      </w:r>
    </w:p>
  </w:endnote>
  <w:endnote w:type="continuationSeparator" w:id="0">
    <w:p w:rsidR="00256296" w:rsidRDefault="0025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Corpo)">
    <w:altName w:val="Calibri"/>
    <w:panose1 w:val="00000000000000000000"/>
    <w:charset w:val="00"/>
    <w:family w:val="roman"/>
    <w:notTrueType/>
    <w:pitch w:val="default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96" w:rsidRDefault="00256296">
      <w:r>
        <w:separator/>
      </w:r>
    </w:p>
  </w:footnote>
  <w:footnote w:type="continuationSeparator" w:id="0">
    <w:p w:rsidR="00256296" w:rsidRDefault="00256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56296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1BDED9C" wp14:editId="6E51319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9473D6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Estudo Preliminar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9473D6">
            <w:rPr>
              <w:rFonts w:ascii="Arial" w:hAnsi="Arial" w:cs="Arial"/>
              <w:b/>
              <w:sz w:val="18"/>
            </w:rPr>
            <w:t xml:space="preserve"> – 0015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56296" w:rsidP="006F7070">
    <w:pPr>
      <w:pStyle w:val="Cabealho"/>
      <w:jc w:val="center"/>
      <w:rPr>
        <w:sz w:val="24"/>
      </w:rPr>
    </w:pPr>
  </w:p>
  <w:p w:rsidR="00F71D92" w:rsidRPr="00F71D92" w:rsidRDefault="00256296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56296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123E5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D6528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46CF6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6CFD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F722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03AAE"/>
    <w:multiLevelType w:val="hybridMultilevel"/>
    <w:tmpl w:val="D122935A"/>
    <w:lvl w:ilvl="0" w:tplc="C73CF1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CB85114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46DF0"/>
    <w:multiLevelType w:val="hybridMultilevel"/>
    <w:tmpl w:val="F17CD24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248E8"/>
    <w:multiLevelType w:val="hybridMultilevel"/>
    <w:tmpl w:val="67F6C428"/>
    <w:lvl w:ilvl="0" w:tplc="E5F45B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2FA280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855EB3"/>
    <w:multiLevelType w:val="hybridMultilevel"/>
    <w:tmpl w:val="5FDAAB66"/>
    <w:lvl w:ilvl="0" w:tplc="AAC60D8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04" w:hanging="360"/>
      </w:pPr>
    </w:lvl>
    <w:lvl w:ilvl="2" w:tplc="0416001B" w:tentative="1">
      <w:start w:val="1"/>
      <w:numFmt w:val="lowerRoman"/>
      <w:lvlText w:val="%3."/>
      <w:lvlJc w:val="right"/>
      <w:pPr>
        <w:ind w:left="3024" w:hanging="180"/>
      </w:pPr>
    </w:lvl>
    <w:lvl w:ilvl="3" w:tplc="0416000F" w:tentative="1">
      <w:start w:val="1"/>
      <w:numFmt w:val="decimal"/>
      <w:lvlText w:val="%4."/>
      <w:lvlJc w:val="left"/>
      <w:pPr>
        <w:ind w:left="3744" w:hanging="360"/>
      </w:pPr>
    </w:lvl>
    <w:lvl w:ilvl="4" w:tplc="04160019" w:tentative="1">
      <w:start w:val="1"/>
      <w:numFmt w:val="lowerLetter"/>
      <w:lvlText w:val="%5."/>
      <w:lvlJc w:val="left"/>
      <w:pPr>
        <w:ind w:left="4464" w:hanging="360"/>
      </w:pPr>
    </w:lvl>
    <w:lvl w:ilvl="5" w:tplc="0416001B" w:tentative="1">
      <w:start w:val="1"/>
      <w:numFmt w:val="lowerRoman"/>
      <w:lvlText w:val="%6."/>
      <w:lvlJc w:val="right"/>
      <w:pPr>
        <w:ind w:left="5184" w:hanging="180"/>
      </w:pPr>
    </w:lvl>
    <w:lvl w:ilvl="6" w:tplc="0416000F" w:tentative="1">
      <w:start w:val="1"/>
      <w:numFmt w:val="decimal"/>
      <w:lvlText w:val="%7."/>
      <w:lvlJc w:val="left"/>
      <w:pPr>
        <w:ind w:left="5904" w:hanging="360"/>
      </w:pPr>
    </w:lvl>
    <w:lvl w:ilvl="7" w:tplc="04160019" w:tentative="1">
      <w:start w:val="1"/>
      <w:numFmt w:val="lowerLetter"/>
      <w:lvlText w:val="%8."/>
      <w:lvlJc w:val="left"/>
      <w:pPr>
        <w:ind w:left="6624" w:hanging="360"/>
      </w:pPr>
    </w:lvl>
    <w:lvl w:ilvl="8" w:tplc="0416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4">
    <w:nsid w:val="48C453EE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F1042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15A11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7B38CF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676C37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508646A"/>
    <w:multiLevelType w:val="multilevel"/>
    <w:tmpl w:val="B6D22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58EB0289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1F0F91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F7A203C"/>
    <w:multiLevelType w:val="hybridMultilevel"/>
    <w:tmpl w:val="96467BD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52320"/>
    <w:multiLevelType w:val="hybridMultilevel"/>
    <w:tmpl w:val="F468C5CA"/>
    <w:lvl w:ilvl="0" w:tplc="4A5ADBE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FA7184"/>
    <w:multiLevelType w:val="hybridMultilevel"/>
    <w:tmpl w:val="3660488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9"/>
  </w:num>
  <w:num w:numId="5">
    <w:abstractNumId w:val="11"/>
  </w:num>
  <w:num w:numId="6">
    <w:abstractNumId w:val="13"/>
  </w:num>
  <w:num w:numId="7">
    <w:abstractNumId w:val="7"/>
  </w:num>
  <w:num w:numId="8">
    <w:abstractNumId w:val="10"/>
  </w:num>
  <w:num w:numId="9">
    <w:abstractNumId w:val="0"/>
  </w:num>
  <w:num w:numId="10">
    <w:abstractNumId w:val="6"/>
  </w:num>
  <w:num w:numId="11">
    <w:abstractNumId w:val="2"/>
  </w:num>
  <w:num w:numId="12">
    <w:abstractNumId w:val="17"/>
  </w:num>
  <w:num w:numId="13">
    <w:abstractNumId w:val="12"/>
  </w:num>
  <w:num w:numId="14">
    <w:abstractNumId w:val="20"/>
  </w:num>
  <w:num w:numId="15">
    <w:abstractNumId w:val="1"/>
  </w:num>
  <w:num w:numId="16">
    <w:abstractNumId w:val="8"/>
  </w:num>
  <w:num w:numId="17">
    <w:abstractNumId w:val="14"/>
  </w:num>
  <w:num w:numId="18">
    <w:abstractNumId w:val="15"/>
  </w:num>
  <w:num w:numId="19">
    <w:abstractNumId w:val="22"/>
  </w:num>
  <w:num w:numId="20">
    <w:abstractNumId w:val="16"/>
  </w:num>
  <w:num w:numId="21">
    <w:abstractNumId w:val="18"/>
  </w:num>
  <w:num w:numId="22">
    <w:abstractNumId w:val="3"/>
  </w:num>
  <w:num w:numId="23">
    <w:abstractNumId w:val="23"/>
  </w:num>
  <w:num w:numId="24">
    <w:abstractNumId w:val="2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56296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A2CC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3D6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0A01"/>
    <w:rsid w:val="00F463F1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2065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2021-01-27T18:25:00Z</dcterms:created>
  <dcterms:modified xsi:type="dcterms:W3CDTF">2021-01-27T18:26:00Z</dcterms:modified>
</cp:coreProperties>
</file>