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DD9" w:rsidRPr="00007DD9" w:rsidRDefault="00007DD9" w:rsidP="00007DD9">
      <w:pPr>
        <w:spacing w:line="360" w:lineRule="auto"/>
        <w:contextualSpacing/>
        <w:jc w:val="center"/>
        <w:rPr>
          <w:rFonts w:ascii="Arial" w:eastAsia="Calibri" w:hAnsi="Arial" w:cs="Arial"/>
          <w:b/>
          <w:sz w:val="20"/>
          <w:szCs w:val="20"/>
          <w:u w:val="single"/>
          <w:lang w:eastAsia="en-US"/>
        </w:rPr>
      </w:pPr>
      <w:r>
        <w:rPr>
          <w:rFonts w:ascii="Arial" w:eastAsia="Calibri" w:hAnsi="Arial" w:cs="Arial"/>
          <w:b/>
          <w:sz w:val="20"/>
          <w:szCs w:val="20"/>
          <w:u w:val="single"/>
          <w:lang w:eastAsia="en-US"/>
        </w:rPr>
        <w:t>MINUTA DE EDITAL</w:t>
      </w:r>
    </w:p>
    <w:p w:rsidR="00007DD9" w:rsidRDefault="00007DD9" w:rsidP="00007DD9">
      <w:pPr>
        <w:contextualSpacing/>
        <w:rPr>
          <w:rFonts w:ascii="Arial" w:eastAsia="Calibri" w:hAnsi="Arial" w:cs="Arial"/>
          <w:b/>
          <w:sz w:val="20"/>
          <w:szCs w:val="20"/>
          <w:lang w:eastAsia="en-US"/>
        </w:rPr>
      </w:pPr>
    </w:p>
    <w:p w:rsidR="00007DD9" w:rsidRDefault="00007DD9" w:rsidP="00007DD9">
      <w:pPr>
        <w:contextualSpacing/>
        <w:rPr>
          <w:rFonts w:ascii="Arial" w:eastAsia="Calibri" w:hAnsi="Arial" w:cs="Arial"/>
          <w:b/>
          <w:sz w:val="20"/>
          <w:szCs w:val="20"/>
          <w:lang w:eastAsia="en-US"/>
        </w:rPr>
      </w:pPr>
    </w:p>
    <w:p w:rsidR="00007DD9" w:rsidRPr="00007DD9" w:rsidRDefault="00007DD9" w:rsidP="00007DD9">
      <w:pPr>
        <w:contextualSpacing/>
        <w:rPr>
          <w:rFonts w:ascii="Arial" w:eastAsia="Calibri" w:hAnsi="Arial" w:cs="Arial"/>
          <w:b/>
          <w:sz w:val="20"/>
          <w:szCs w:val="20"/>
          <w:lang w:eastAsia="en-US"/>
        </w:rPr>
      </w:pPr>
      <w:r w:rsidRPr="00007DD9">
        <w:rPr>
          <w:rFonts w:ascii="Arial" w:eastAsia="Calibri" w:hAnsi="Arial" w:cs="Arial"/>
          <w:b/>
          <w:sz w:val="20"/>
          <w:szCs w:val="20"/>
          <w:lang w:eastAsia="en-US"/>
        </w:rPr>
        <w:t xml:space="preserve">PROCESSO Nº </w:t>
      </w:r>
      <w:proofErr w:type="spellStart"/>
      <w:r w:rsidRPr="00007DD9">
        <w:rPr>
          <w:rFonts w:ascii="Arial" w:eastAsia="Calibri" w:hAnsi="Arial" w:cs="Arial"/>
          <w:b/>
          <w:sz w:val="20"/>
          <w:szCs w:val="20"/>
          <w:highlight w:val="lightGray"/>
          <w:lang w:eastAsia="en-US"/>
        </w:rPr>
        <w:t>xxxxxx</w:t>
      </w:r>
      <w:proofErr w:type="spellEnd"/>
      <w:r w:rsidRPr="00007DD9">
        <w:rPr>
          <w:rFonts w:ascii="Arial" w:eastAsia="Calibri" w:hAnsi="Arial" w:cs="Arial"/>
          <w:b/>
          <w:sz w:val="20"/>
          <w:szCs w:val="20"/>
          <w:highlight w:val="lightGray"/>
          <w:lang w:eastAsia="en-US"/>
        </w:rPr>
        <w:t>/20xx</w:t>
      </w:r>
    </w:p>
    <w:p w:rsidR="00007DD9" w:rsidRPr="00007DD9" w:rsidRDefault="00007DD9" w:rsidP="00007DD9">
      <w:pPr>
        <w:spacing w:before="240"/>
        <w:jc w:val="both"/>
        <w:rPr>
          <w:rFonts w:ascii="Arial" w:eastAsia="Calibri" w:hAnsi="Arial" w:cs="Arial"/>
          <w:sz w:val="20"/>
          <w:szCs w:val="20"/>
          <w:lang w:eastAsia="en-US"/>
        </w:rPr>
      </w:pPr>
      <w:r w:rsidRPr="00007DD9">
        <w:rPr>
          <w:rFonts w:ascii="Arial" w:eastAsia="Calibri" w:hAnsi="Arial" w:cs="Arial"/>
          <w:b/>
          <w:sz w:val="20"/>
          <w:szCs w:val="20"/>
          <w:lang w:eastAsia="en-US"/>
        </w:rPr>
        <w:t>OBJETO</w:t>
      </w:r>
      <w:r w:rsidRPr="00007DD9">
        <w:rPr>
          <w:rFonts w:ascii="Arial" w:eastAsia="Calibri" w:hAnsi="Arial" w:cs="Arial"/>
          <w:b/>
          <w:sz w:val="20"/>
          <w:szCs w:val="20"/>
          <w:highlight w:val="lightGray"/>
          <w:lang w:eastAsia="en-US"/>
        </w:rPr>
        <w:t>:</w:t>
      </w:r>
      <w:r w:rsidRPr="00007DD9">
        <w:rPr>
          <w:rFonts w:ascii="Arial" w:eastAsia="Calibri" w:hAnsi="Arial" w:cs="Arial"/>
          <w:sz w:val="20"/>
          <w:szCs w:val="20"/>
          <w:highlight w:val="lightGray"/>
          <w:lang w:eastAsia="en-US"/>
        </w:rPr>
        <w:t xml:space="preserve"> </w:t>
      </w:r>
      <w:proofErr w:type="spellStart"/>
      <w:r w:rsidRPr="00007DD9">
        <w:rPr>
          <w:rFonts w:ascii="Arial" w:eastAsia="Calibri" w:hAnsi="Arial" w:cs="Arial"/>
          <w:sz w:val="20"/>
          <w:szCs w:val="20"/>
          <w:highlight w:val="lightGray"/>
          <w:lang w:eastAsia="en-US"/>
        </w:rPr>
        <w:t>xxxxxxxxxxxxxxxxxxxxxxxxxx</w:t>
      </w:r>
      <w:proofErr w:type="spellEnd"/>
    </w:p>
    <w:p w:rsidR="00007DD9" w:rsidRPr="00007DD9" w:rsidRDefault="00007DD9" w:rsidP="00007DD9">
      <w:pPr>
        <w:spacing w:before="240" w:line="360" w:lineRule="auto"/>
        <w:jc w:val="both"/>
        <w:rPr>
          <w:rFonts w:ascii="Arial" w:eastAsia="Calibri" w:hAnsi="Arial" w:cs="Arial"/>
          <w:b/>
          <w:sz w:val="20"/>
          <w:szCs w:val="20"/>
          <w:lang w:eastAsia="en-US"/>
        </w:rPr>
      </w:pPr>
      <w:r w:rsidRPr="00007DD9">
        <w:rPr>
          <w:rFonts w:ascii="Arial" w:eastAsia="Calibri" w:hAnsi="Arial" w:cs="Arial"/>
          <w:b/>
          <w:sz w:val="20"/>
          <w:szCs w:val="20"/>
          <w:lang w:eastAsia="en-US"/>
        </w:rPr>
        <w:t>ANEXOS:</w:t>
      </w:r>
      <w:bookmarkStart w:id="0" w:name="_GoBack"/>
      <w:bookmarkEnd w:id="0"/>
    </w:p>
    <w:p w:rsidR="00007DD9" w:rsidRPr="00007DD9" w:rsidRDefault="00007DD9" w:rsidP="00007DD9">
      <w:pPr>
        <w:numPr>
          <w:ilvl w:val="0"/>
          <w:numId w:val="9"/>
        </w:numPr>
        <w:spacing w:after="200" w:line="276" w:lineRule="auto"/>
        <w:ind w:left="567" w:hanging="567"/>
        <w:contextualSpacing/>
        <w:jc w:val="both"/>
        <w:rPr>
          <w:rFonts w:ascii="Arial" w:hAnsi="Arial" w:cs="Arial"/>
          <w:b/>
          <w:sz w:val="20"/>
          <w:szCs w:val="20"/>
        </w:rPr>
      </w:pPr>
      <w:r w:rsidRPr="00007DD9">
        <w:rPr>
          <w:rFonts w:ascii="Arial" w:hAnsi="Arial" w:cs="Arial"/>
          <w:b/>
          <w:sz w:val="20"/>
          <w:szCs w:val="20"/>
        </w:rPr>
        <w:t>Termo de Referência</w:t>
      </w:r>
    </w:p>
    <w:p w:rsidR="00007DD9" w:rsidRPr="00007DD9" w:rsidRDefault="00007DD9" w:rsidP="00007DD9">
      <w:pPr>
        <w:numPr>
          <w:ilvl w:val="0"/>
          <w:numId w:val="9"/>
        </w:numPr>
        <w:spacing w:before="240" w:after="200" w:line="276" w:lineRule="auto"/>
        <w:ind w:left="567" w:hanging="567"/>
        <w:contextualSpacing/>
        <w:jc w:val="both"/>
        <w:rPr>
          <w:rFonts w:ascii="Arial" w:hAnsi="Arial" w:cs="Arial"/>
          <w:b/>
          <w:sz w:val="20"/>
          <w:szCs w:val="20"/>
        </w:rPr>
      </w:pPr>
      <w:r w:rsidRPr="00007DD9">
        <w:rPr>
          <w:rFonts w:ascii="Arial" w:hAnsi="Arial" w:cs="Arial"/>
          <w:b/>
          <w:sz w:val="20"/>
          <w:szCs w:val="20"/>
        </w:rPr>
        <w:t xml:space="preserve">Modelo de Proposta </w:t>
      </w:r>
    </w:p>
    <w:p w:rsidR="00007DD9" w:rsidRPr="00007DD9" w:rsidRDefault="00007DD9" w:rsidP="00007DD9">
      <w:pPr>
        <w:numPr>
          <w:ilvl w:val="0"/>
          <w:numId w:val="9"/>
        </w:numPr>
        <w:spacing w:before="240" w:after="200" w:line="276" w:lineRule="auto"/>
        <w:ind w:left="567" w:hanging="567"/>
        <w:contextualSpacing/>
        <w:jc w:val="both"/>
        <w:rPr>
          <w:rFonts w:ascii="Arial" w:hAnsi="Arial" w:cs="Arial"/>
          <w:b/>
          <w:sz w:val="20"/>
          <w:szCs w:val="20"/>
        </w:rPr>
      </w:pPr>
      <w:r w:rsidRPr="00007DD9">
        <w:rPr>
          <w:rFonts w:ascii="Arial" w:hAnsi="Arial" w:cs="Arial"/>
          <w:b/>
          <w:sz w:val="20"/>
          <w:szCs w:val="20"/>
        </w:rPr>
        <w:t>Planilha de Preços Estimados</w:t>
      </w:r>
    </w:p>
    <w:p w:rsidR="00007DD9" w:rsidRPr="00007DD9" w:rsidRDefault="00007DD9" w:rsidP="00007DD9">
      <w:pPr>
        <w:numPr>
          <w:ilvl w:val="0"/>
          <w:numId w:val="9"/>
        </w:numPr>
        <w:spacing w:before="240" w:after="200" w:line="276" w:lineRule="auto"/>
        <w:ind w:left="567" w:hanging="567"/>
        <w:contextualSpacing/>
        <w:jc w:val="both"/>
        <w:rPr>
          <w:rFonts w:ascii="Arial" w:hAnsi="Arial" w:cs="Arial"/>
          <w:b/>
          <w:sz w:val="20"/>
          <w:szCs w:val="20"/>
        </w:rPr>
      </w:pPr>
      <w:r w:rsidRPr="00007DD9">
        <w:rPr>
          <w:rFonts w:ascii="Arial" w:hAnsi="Arial" w:cs="Arial"/>
          <w:b/>
          <w:sz w:val="20"/>
          <w:szCs w:val="20"/>
        </w:rPr>
        <w:t>Minuta de Contrato</w:t>
      </w:r>
    </w:p>
    <w:p w:rsidR="00007DD9" w:rsidRPr="00007DD9" w:rsidRDefault="00007DD9" w:rsidP="00007DD9">
      <w:pPr>
        <w:spacing w:before="240"/>
        <w:ind w:left="567"/>
        <w:contextualSpacing/>
        <w:jc w:val="both"/>
        <w:rPr>
          <w:rFonts w:ascii="Arial" w:hAnsi="Arial" w:cs="Arial"/>
          <w:b/>
          <w:sz w:val="20"/>
          <w:szCs w:val="20"/>
        </w:rPr>
      </w:pPr>
    </w:p>
    <w:tbl>
      <w:tblPr>
        <w:tblW w:w="0" w:type="auto"/>
        <w:tblInd w:w="-142" w:type="dxa"/>
        <w:tblLook w:val="04A0" w:firstRow="1" w:lastRow="0" w:firstColumn="1" w:lastColumn="0" w:noHBand="0" w:noVBand="1"/>
      </w:tblPr>
      <w:tblGrid>
        <w:gridCol w:w="694"/>
        <w:gridCol w:w="129"/>
        <w:gridCol w:w="7859"/>
        <w:gridCol w:w="129"/>
      </w:tblGrid>
      <w:tr w:rsidR="00007DD9" w:rsidRPr="00007DD9" w:rsidTr="0038050A">
        <w:trPr>
          <w:gridAfter w:val="1"/>
          <w:wAfter w:w="129" w:type="dxa"/>
        </w:trPr>
        <w:tc>
          <w:tcPr>
            <w:tcW w:w="648" w:type="dxa"/>
            <w:shd w:val="clear" w:color="auto" w:fill="auto"/>
            <w:hideMark/>
          </w:tcPr>
          <w:p w:rsidR="00007DD9" w:rsidRPr="00007DD9" w:rsidRDefault="00007DD9" w:rsidP="0038050A">
            <w:pPr>
              <w:rPr>
                <w:rFonts w:ascii="Arial" w:hAnsi="Arial" w:cs="Arial"/>
                <w:b/>
                <w:sz w:val="20"/>
                <w:szCs w:val="20"/>
              </w:rPr>
            </w:pPr>
            <w:r w:rsidRPr="00007DD9">
              <w:rPr>
                <w:rFonts w:ascii="Arial" w:hAnsi="Arial" w:cs="Arial"/>
                <w:b/>
                <w:sz w:val="20"/>
                <w:szCs w:val="20"/>
              </w:rPr>
              <w:t>ITEM</w:t>
            </w:r>
          </w:p>
        </w:tc>
        <w:tc>
          <w:tcPr>
            <w:tcW w:w="7988" w:type="dxa"/>
            <w:gridSpan w:val="2"/>
            <w:shd w:val="clear" w:color="auto" w:fill="auto"/>
            <w:hideMark/>
          </w:tcPr>
          <w:p w:rsidR="00007DD9" w:rsidRPr="00007DD9" w:rsidRDefault="00007DD9" w:rsidP="0038050A">
            <w:pPr>
              <w:jc w:val="both"/>
              <w:rPr>
                <w:rFonts w:ascii="Arial" w:hAnsi="Arial" w:cs="Arial"/>
                <w:b/>
                <w:sz w:val="20"/>
                <w:szCs w:val="20"/>
              </w:rPr>
            </w:pPr>
            <w:r w:rsidRPr="00007DD9">
              <w:rPr>
                <w:rFonts w:ascii="Arial" w:hAnsi="Arial" w:cs="Arial"/>
                <w:b/>
                <w:sz w:val="20"/>
                <w:szCs w:val="20"/>
              </w:rPr>
              <w:t>ASSUNTO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01</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 xml:space="preserve">DO OBJETO </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02</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PARTICIPAÇÃO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03</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 xml:space="preserve">DO ENQUADRAMENTO COMO MICROEMPRESA, EMPRESA DE PEQUENO PORTE E </w:t>
            </w:r>
            <w:proofErr w:type="gramStart"/>
            <w:r w:rsidRPr="00007DD9">
              <w:rPr>
                <w:rFonts w:ascii="Arial" w:eastAsia="Calibri" w:hAnsi="Arial" w:cs="Arial"/>
                <w:sz w:val="20"/>
                <w:szCs w:val="20"/>
              </w:rPr>
              <w:t>EQUIPARADOS</w:t>
            </w:r>
            <w:proofErr w:type="gramEnd"/>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04</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REPRESENTAÇÃO E DO CREDENCIAMENTO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05</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 xml:space="preserve">DA APRESENTAÇÃO DA PROPOSTA E DOS DOCUMENTOS DE HABILITAÇÃO </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06</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 PREENCHIMENTO DA PROPOSTA</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07</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 xml:space="preserve">DA ABERTURA DA SESSÃO, CLASSIFICAÇÃO DAS PROPOSTAS E FORMULAÇÃO DE </w:t>
            </w:r>
            <w:proofErr w:type="gramStart"/>
            <w:r w:rsidRPr="00007DD9">
              <w:rPr>
                <w:rFonts w:ascii="Arial" w:eastAsia="Calibri" w:hAnsi="Arial" w:cs="Arial"/>
                <w:sz w:val="20"/>
                <w:szCs w:val="20"/>
              </w:rPr>
              <w:t>LANCES</w:t>
            </w:r>
            <w:proofErr w:type="gramEnd"/>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08</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DESCONEXÃO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09</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ACEITABILIDADE DA PROPOSTA VENCEDORA</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10</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HABILITAÇÃO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11</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 ENCAMINHAMENTO DA PROPOSTA VENCEDORA</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12</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MANUTENÇÃO DAS CONDIÇÕES HABILITATÓRIAS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13</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IMPUGNAÇÃO DO INSTRUMENTO CONVOCATÓRIO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14</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DOS PEDIDOS DE ESCLARECIMENTOS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15</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DOS RECURSOS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16</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REABERTURA DA SESSÃO PÚBLICA</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17</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ADJUDICAÇÃO E DA HOMOLOGAÇÃO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18</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DAS OBRIGAÇÕES DAS PARTES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19</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 CONTRATO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20</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 PAGAMENTO</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21</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DOS RECURSOS ORÇAMENTÁRIOS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22</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 FISCALIZAÇÃO DOS SERVIÇOS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23</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DAS ALTERAÇÕES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24</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DAS SANÇÕES ADMINISTRATIVAS</w:t>
            </w:r>
          </w:p>
        </w:tc>
      </w:tr>
      <w:tr w:rsidR="00007DD9" w:rsidRPr="00007DD9" w:rsidTr="0038050A">
        <w:tc>
          <w:tcPr>
            <w:tcW w:w="777"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25</w:t>
            </w:r>
          </w:p>
        </w:tc>
        <w:tc>
          <w:tcPr>
            <w:tcW w:w="7988" w:type="dxa"/>
            <w:gridSpan w:val="2"/>
            <w:shd w:val="clear" w:color="auto" w:fill="auto"/>
            <w:hideMark/>
          </w:tcPr>
          <w:p w:rsidR="00007DD9" w:rsidRPr="00007DD9" w:rsidRDefault="00007DD9" w:rsidP="0038050A">
            <w:pPr>
              <w:rPr>
                <w:rFonts w:ascii="Arial" w:eastAsia="Calibri" w:hAnsi="Arial" w:cs="Arial"/>
                <w:sz w:val="20"/>
                <w:szCs w:val="20"/>
              </w:rPr>
            </w:pPr>
            <w:r w:rsidRPr="00007DD9">
              <w:rPr>
                <w:rFonts w:ascii="Arial" w:eastAsia="Calibri" w:hAnsi="Arial" w:cs="Arial"/>
                <w:sz w:val="20"/>
                <w:szCs w:val="20"/>
              </w:rPr>
              <w:t>DAS DISPOSIÇÕES GERAIS</w:t>
            </w:r>
          </w:p>
        </w:tc>
      </w:tr>
    </w:tbl>
    <w:p w:rsidR="00007DD9" w:rsidRDefault="00007DD9" w:rsidP="00007DD9">
      <w:pPr>
        <w:spacing w:line="360" w:lineRule="auto"/>
        <w:contextualSpacing/>
        <w:jc w:val="center"/>
        <w:rPr>
          <w:rFonts w:ascii="Arial" w:eastAsia="Calibri" w:hAnsi="Arial" w:cs="Arial"/>
          <w:b/>
          <w:sz w:val="20"/>
          <w:szCs w:val="20"/>
          <w:u w:val="single"/>
          <w:lang w:eastAsia="en-US"/>
        </w:rPr>
      </w:pPr>
    </w:p>
    <w:p w:rsidR="00007DD9" w:rsidRDefault="00007DD9" w:rsidP="00007DD9">
      <w:pPr>
        <w:spacing w:line="360" w:lineRule="auto"/>
        <w:contextualSpacing/>
        <w:jc w:val="center"/>
        <w:rPr>
          <w:rFonts w:ascii="Arial" w:eastAsia="Calibri" w:hAnsi="Arial" w:cs="Arial"/>
          <w:b/>
          <w:sz w:val="20"/>
          <w:szCs w:val="20"/>
          <w:u w:val="single"/>
          <w:lang w:eastAsia="en-US"/>
        </w:rPr>
      </w:pPr>
    </w:p>
    <w:p w:rsidR="00007DD9" w:rsidRPr="00007DD9" w:rsidRDefault="00007DD9" w:rsidP="00007DD9">
      <w:pPr>
        <w:spacing w:line="360" w:lineRule="auto"/>
        <w:contextualSpacing/>
        <w:jc w:val="center"/>
        <w:rPr>
          <w:rFonts w:ascii="Arial" w:eastAsia="Calibri" w:hAnsi="Arial" w:cs="Arial"/>
          <w:b/>
          <w:sz w:val="20"/>
          <w:szCs w:val="20"/>
          <w:u w:val="single"/>
          <w:lang w:eastAsia="en-US"/>
        </w:rPr>
      </w:pPr>
      <w:r w:rsidRPr="00007DD9">
        <w:rPr>
          <w:rFonts w:ascii="Arial" w:eastAsia="Calibri" w:hAnsi="Arial" w:cs="Arial"/>
          <w:b/>
          <w:sz w:val="20"/>
          <w:szCs w:val="20"/>
          <w:u w:val="single"/>
          <w:lang w:eastAsia="en-US"/>
        </w:rPr>
        <w:t>EDITAL DEFINITIVO</w:t>
      </w:r>
    </w:p>
    <w:p w:rsidR="00007DD9" w:rsidRPr="00007DD9" w:rsidRDefault="00007DD9" w:rsidP="00007DD9">
      <w:pPr>
        <w:spacing w:line="360" w:lineRule="auto"/>
        <w:contextualSpacing/>
        <w:jc w:val="center"/>
        <w:rPr>
          <w:rFonts w:ascii="Arial" w:eastAsia="Calibri" w:hAnsi="Arial" w:cs="Arial"/>
          <w:b/>
          <w:sz w:val="20"/>
          <w:szCs w:val="20"/>
          <w:u w:val="single"/>
          <w:lang w:eastAsia="en-US"/>
        </w:rPr>
      </w:pPr>
    </w:p>
    <w:p w:rsidR="00007DD9" w:rsidRPr="00007DD9" w:rsidRDefault="00007DD9" w:rsidP="00007DD9">
      <w:pPr>
        <w:spacing w:line="360" w:lineRule="auto"/>
        <w:contextualSpacing/>
        <w:jc w:val="center"/>
        <w:rPr>
          <w:rFonts w:ascii="Arial" w:eastAsia="Calibri" w:hAnsi="Arial" w:cs="Arial"/>
          <w:b/>
          <w:sz w:val="20"/>
          <w:szCs w:val="20"/>
          <w:u w:val="single"/>
          <w:lang w:eastAsia="en-US"/>
        </w:rPr>
      </w:pPr>
      <w:r w:rsidRPr="00007DD9">
        <w:rPr>
          <w:rFonts w:ascii="Arial" w:eastAsia="Calibri" w:hAnsi="Arial" w:cs="Arial"/>
          <w:b/>
          <w:sz w:val="20"/>
          <w:szCs w:val="20"/>
          <w:u w:val="single"/>
          <w:lang w:eastAsia="en-US"/>
        </w:rPr>
        <w:t xml:space="preserve">EDITAL DE LICITAÇÃO </w:t>
      </w:r>
      <w:r w:rsidRPr="00007DD9">
        <w:rPr>
          <w:rFonts w:ascii="Arial" w:eastAsia="Calibri" w:hAnsi="Arial" w:cs="Arial"/>
          <w:b/>
          <w:sz w:val="20"/>
          <w:szCs w:val="20"/>
          <w:highlight w:val="lightGray"/>
          <w:u w:val="single"/>
          <w:lang w:eastAsia="en-US"/>
        </w:rPr>
        <w:t>Nº x/20xx</w:t>
      </w:r>
    </w:p>
    <w:p w:rsidR="00007DD9" w:rsidRPr="00007DD9" w:rsidRDefault="00007DD9" w:rsidP="00007DD9">
      <w:pPr>
        <w:spacing w:line="360" w:lineRule="auto"/>
        <w:contextualSpacing/>
        <w:jc w:val="center"/>
        <w:rPr>
          <w:rFonts w:ascii="Arial" w:eastAsia="Calibri" w:hAnsi="Arial" w:cs="Arial"/>
          <w:b/>
          <w:sz w:val="20"/>
          <w:szCs w:val="20"/>
          <w:lang w:eastAsia="en-US"/>
        </w:rPr>
      </w:pPr>
      <w:r w:rsidRPr="00007DD9">
        <w:rPr>
          <w:rFonts w:ascii="Arial" w:eastAsia="Calibri" w:hAnsi="Arial" w:cs="Arial"/>
          <w:b/>
          <w:sz w:val="20"/>
          <w:szCs w:val="20"/>
          <w:highlight w:val="lightGray"/>
          <w:lang w:eastAsia="en-US"/>
        </w:rPr>
        <w:t>UASG – 926655</w:t>
      </w:r>
    </w:p>
    <w:p w:rsidR="00007DD9" w:rsidRPr="00007DD9" w:rsidRDefault="00007DD9" w:rsidP="00007DD9">
      <w:pPr>
        <w:spacing w:line="360" w:lineRule="auto"/>
        <w:contextualSpacing/>
        <w:rPr>
          <w:rFonts w:ascii="Arial" w:eastAsia="Calibri" w:hAnsi="Arial" w:cs="Arial"/>
          <w:sz w:val="20"/>
          <w:szCs w:val="20"/>
          <w:lang w:eastAsia="en-US"/>
        </w:rPr>
      </w:pPr>
    </w:p>
    <w:p w:rsidR="00007DD9" w:rsidRPr="00007DD9" w:rsidRDefault="00007DD9" w:rsidP="00007DD9">
      <w:pPr>
        <w:spacing w:line="360" w:lineRule="auto"/>
        <w:contextualSpacing/>
        <w:rPr>
          <w:rFonts w:ascii="Arial" w:eastAsia="Calibri" w:hAnsi="Arial" w:cs="Arial"/>
          <w:sz w:val="20"/>
          <w:szCs w:val="20"/>
          <w:lang w:eastAsia="en-US"/>
        </w:rPr>
      </w:pPr>
      <w:r w:rsidRPr="00007DD9">
        <w:rPr>
          <w:rFonts w:ascii="Arial" w:eastAsia="Calibri" w:hAnsi="Arial" w:cs="Arial"/>
          <w:sz w:val="20"/>
          <w:szCs w:val="20"/>
          <w:lang w:eastAsia="en-US"/>
        </w:rPr>
        <w:t xml:space="preserve">PROCESSO </w:t>
      </w:r>
      <w:r w:rsidRPr="00007DD9">
        <w:rPr>
          <w:rFonts w:ascii="Arial" w:eastAsia="Calibri" w:hAnsi="Arial" w:cs="Arial"/>
          <w:sz w:val="20"/>
          <w:szCs w:val="20"/>
          <w:highlight w:val="lightGray"/>
          <w:lang w:eastAsia="en-US"/>
        </w:rPr>
        <w:t xml:space="preserve">Nº </w:t>
      </w:r>
      <w:proofErr w:type="spellStart"/>
      <w:r w:rsidRPr="00007DD9">
        <w:rPr>
          <w:rFonts w:ascii="Arial" w:eastAsia="Calibri" w:hAnsi="Arial" w:cs="Arial"/>
          <w:sz w:val="20"/>
          <w:szCs w:val="20"/>
          <w:highlight w:val="lightGray"/>
          <w:lang w:eastAsia="en-US"/>
        </w:rPr>
        <w:t>xxxxx</w:t>
      </w:r>
      <w:proofErr w:type="spellEnd"/>
      <w:r w:rsidRPr="00007DD9">
        <w:rPr>
          <w:rFonts w:ascii="Arial" w:eastAsia="Calibri" w:hAnsi="Arial" w:cs="Arial"/>
          <w:sz w:val="20"/>
          <w:szCs w:val="20"/>
          <w:highlight w:val="lightGray"/>
          <w:lang w:eastAsia="en-US"/>
        </w:rPr>
        <w:t>/20xx</w:t>
      </w:r>
    </w:p>
    <w:p w:rsidR="00007DD9" w:rsidRPr="00007DD9" w:rsidRDefault="00007DD9" w:rsidP="00007DD9">
      <w:pPr>
        <w:spacing w:after="200" w:line="360" w:lineRule="auto"/>
        <w:jc w:val="both"/>
        <w:rPr>
          <w:rFonts w:ascii="Arial" w:eastAsia="Calibri" w:hAnsi="Arial" w:cs="Arial"/>
          <w:b/>
          <w:sz w:val="20"/>
          <w:szCs w:val="20"/>
          <w:lang w:eastAsia="en-US"/>
        </w:rPr>
      </w:pPr>
      <w:r w:rsidRPr="00007DD9">
        <w:rPr>
          <w:rFonts w:ascii="Arial" w:eastAsia="Calibri" w:hAnsi="Arial" w:cs="Arial"/>
          <w:sz w:val="20"/>
          <w:szCs w:val="20"/>
          <w:lang w:eastAsia="en-US"/>
        </w:rPr>
        <w:t xml:space="preserve">Tipo de Licitação: </w:t>
      </w:r>
      <w:proofErr w:type="spellStart"/>
      <w:r w:rsidRPr="00007DD9">
        <w:rPr>
          <w:rFonts w:ascii="Arial" w:eastAsia="Calibri" w:hAnsi="Arial" w:cs="Arial"/>
          <w:b/>
          <w:sz w:val="20"/>
          <w:szCs w:val="20"/>
          <w:highlight w:val="lightGray"/>
          <w:lang w:eastAsia="en-US"/>
        </w:rPr>
        <w:t>xxxxxxxxxxxx</w:t>
      </w:r>
      <w:proofErr w:type="spellEnd"/>
    </w:p>
    <w:p w:rsidR="00007DD9" w:rsidRPr="00007DD9" w:rsidRDefault="00007DD9" w:rsidP="00007DD9">
      <w:pPr>
        <w:spacing w:after="200" w:line="360" w:lineRule="auto"/>
        <w:jc w:val="both"/>
        <w:rPr>
          <w:rFonts w:ascii="Arial" w:eastAsia="Calibri" w:hAnsi="Arial" w:cs="Arial"/>
          <w:sz w:val="20"/>
          <w:szCs w:val="20"/>
          <w:lang w:eastAsia="en-US"/>
        </w:rPr>
      </w:pPr>
      <w:r w:rsidRPr="00007DD9">
        <w:rPr>
          <w:rFonts w:ascii="Arial" w:eastAsia="Calibri" w:hAnsi="Arial" w:cs="Arial"/>
          <w:sz w:val="20"/>
          <w:szCs w:val="20"/>
          <w:lang w:eastAsia="en-US"/>
        </w:rPr>
        <w:t xml:space="preserve">Data e horário de abertura da sessão do Pregão Eletrônico: </w:t>
      </w:r>
      <w:proofErr w:type="spellStart"/>
      <w:r w:rsidRPr="00007DD9">
        <w:rPr>
          <w:rFonts w:ascii="Arial" w:eastAsia="Calibri" w:hAnsi="Arial" w:cs="Arial"/>
          <w:sz w:val="20"/>
          <w:szCs w:val="20"/>
          <w:highlight w:val="lightGray"/>
          <w:lang w:eastAsia="en-US"/>
        </w:rPr>
        <w:t>xx</w:t>
      </w:r>
      <w:proofErr w:type="spellEnd"/>
      <w:r w:rsidRPr="00007DD9">
        <w:rPr>
          <w:rFonts w:ascii="Arial" w:eastAsia="Calibri" w:hAnsi="Arial" w:cs="Arial"/>
          <w:b/>
          <w:sz w:val="20"/>
          <w:szCs w:val="20"/>
          <w:highlight w:val="lightGray"/>
          <w:lang w:eastAsia="en-US"/>
        </w:rPr>
        <w:t>/</w:t>
      </w:r>
      <w:proofErr w:type="spellStart"/>
      <w:r w:rsidRPr="00007DD9">
        <w:rPr>
          <w:rFonts w:ascii="Arial" w:eastAsia="Calibri" w:hAnsi="Arial" w:cs="Arial"/>
          <w:b/>
          <w:sz w:val="20"/>
          <w:szCs w:val="20"/>
          <w:highlight w:val="lightGray"/>
          <w:lang w:eastAsia="en-US"/>
        </w:rPr>
        <w:t>xx</w:t>
      </w:r>
      <w:proofErr w:type="spellEnd"/>
      <w:r w:rsidRPr="00007DD9">
        <w:rPr>
          <w:rFonts w:ascii="Arial" w:eastAsia="Calibri" w:hAnsi="Arial" w:cs="Arial"/>
          <w:b/>
          <w:sz w:val="20"/>
          <w:szCs w:val="20"/>
          <w:highlight w:val="lightGray"/>
          <w:lang w:eastAsia="en-US"/>
        </w:rPr>
        <w:t>/20xx</w:t>
      </w:r>
      <w:r w:rsidRPr="00007DD9">
        <w:rPr>
          <w:rFonts w:ascii="Arial" w:eastAsia="Calibri" w:hAnsi="Arial" w:cs="Arial"/>
          <w:sz w:val="20"/>
          <w:szCs w:val="20"/>
          <w:highlight w:val="lightGray"/>
          <w:lang w:eastAsia="en-US"/>
        </w:rPr>
        <w:t xml:space="preserve">, às </w:t>
      </w:r>
      <w:proofErr w:type="gramStart"/>
      <w:r w:rsidRPr="00007DD9">
        <w:rPr>
          <w:rFonts w:ascii="Arial" w:eastAsia="Calibri" w:hAnsi="Arial" w:cs="Arial"/>
          <w:sz w:val="20"/>
          <w:szCs w:val="20"/>
          <w:highlight w:val="lightGray"/>
          <w:lang w:eastAsia="en-US"/>
        </w:rPr>
        <w:t>xx:</w:t>
      </w:r>
      <w:proofErr w:type="gramEnd"/>
      <w:r w:rsidRPr="00007DD9">
        <w:rPr>
          <w:rFonts w:ascii="Arial" w:eastAsia="Calibri" w:hAnsi="Arial" w:cs="Arial"/>
          <w:sz w:val="20"/>
          <w:szCs w:val="20"/>
          <w:highlight w:val="lightGray"/>
          <w:lang w:eastAsia="en-US"/>
        </w:rPr>
        <w:t>00 horas.</w:t>
      </w:r>
    </w:p>
    <w:p w:rsidR="00007DD9" w:rsidRPr="00007DD9" w:rsidRDefault="00007DD9" w:rsidP="00007DD9">
      <w:pPr>
        <w:spacing w:after="200" w:line="360" w:lineRule="auto"/>
        <w:jc w:val="both"/>
        <w:rPr>
          <w:rFonts w:ascii="Arial" w:eastAsia="Calibri" w:hAnsi="Arial" w:cs="Arial"/>
          <w:sz w:val="20"/>
          <w:szCs w:val="20"/>
          <w:lang w:eastAsia="en-US"/>
        </w:rPr>
      </w:pPr>
      <w:r w:rsidRPr="00007DD9">
        <w:rPr>
          <w:rFonts w:ascii="Arial" w:eastAsia="Calibri" w:hAnsi="Arial" w:cs="Arial"/>
          <w:sz w:val="20"/>
          <w:szCs w:val="20"/>
          <w:lang w:eastAsia="en-US"/>
        </w:rPr>
        <w:t xml:space="preserve">Data e horário de início de recebimento das propostas: </w:t>
      </w:r>
      <w:proofErr w:type="spellStart"/>
      <w:r w:rsidRPr="00007DD9">
        <w:rPr>
          <w:rFonts w:ascii="Arial" w:eastAsia="Calibri" w:hAnsi="Arial" w:cs="Arial"/>
          <w:sz w:val="20"/>
          <w:szCs w:val="20"/>
          <w:highlight w:val="lightGray"/>
          <w:lang w:eastAsia="en-US"/>
        </w:rPr>
        <w:t>xx</w:t>
      </w:r>
      <w:proofErr w:type="spellEnd"/>
      <w:r w:rsidRPr="00007DD9">
        <w:rPr>
          <w:rFonts w:ascii="Arial" w:eastAsia="Calibri" w:hAnsi="Arial" w:cs="Arial"/>
          <w:b/>
          <w:sz w:val="20"/>
          <w:szCs w:val="20"/>
          <w:highlight w:val="lightGray"/>
          <w:lang w:eastAsia="en-US"/>
        </w:rPr>
        <w:t>/</w:t>
      </w:r>
      <w:proofErr w:type="spellStart"/>
      <w:r w:rsidRPr="00007DD9">
        <w:rPr>
          <w:rFonts w:ascii="Arial" w:eastAsia="Calibri" w:hAnsi="Arial" w:cs="Arial"/>
          <w:b/>
          <w:sz w:val="20"/>
          <w:szCs w:val="20"/>
          <w:highlight w:val="lightGray"/>
          <w:lang w:eastAsia="en-US"/>
        </w:rPr>
        <w:t>xx</w:t>
      </w:r>
      <w:proofErr w:type="spellEnd"/>
      <w:r w:rsidRPr="00007DD9">
        <w:rPr>
          <w:rFonts w:ascii="Arial" w:eastAsia="Calibri" w:hAnsi="Arial" w:cs="Arial"/>
          <w:b/>
          <w:sz w:val="20"/>
          <w:szCs w:val="20"/>
          <w:highlight w:val="lightGray"/>
          <w:lang w:eastAsia="en-US"/>
        </w:rPr>
        <w:t>/20xx</w:t>
      </w:r>
      <w:r w:rsidRPr="00007DD9">
        <w:rPr>
          <w:rFonts w:ascii="Arial" w:eastAsia="Calibri" w:hAnsi="Arial" w:cs="Arial"/>
          <w:sz w:val="20"/>
          <w:szCs w:val="20"/>
          <w:highlight w:val="lightGray"/>
          <w:lang w:eastAsia="en-US"/>
        </w:rPr>
        <w:t xml:space="preserve">, às </w:t>
      </w:r>
      <w:proofErr w:type="gramStart"/>
      <w:r w:rsidRPr="00007DD9">
        <w:rPr>
          <w:rFonts w:ascii="Arial" w:eastAsia="Calibri" w:hAnsi="Arial" w:cs="Arial"/>
          <w:sz w:val="20"/>
          <w:szCs w:val="20"/>
          <w:highlight w:val="lightGray"/>
          <w:lang w:eastAsia="en-US"/>
        </w:rPr>
        <w:t>xx:</w:t>
      </w:r>
      <w:proofErr w:type="gramEnd"/>
      <w:r w:rsidRPr="00007DD9">
        <w:rPr>
          <w:rFonts w:ascii="Arial" w:eastAsia="Calibri" w:hAnsi="Arial" w:cs="Arial"/>
          <w:sz w:val="20"/>
          <w:szCs w:val="20"/>
          <w:highlight w:val="lightGray"/>
          <w:lang w:eastAsia="en-US"/>
        </w:rPr>
        <w:t>00 horas.</w:t>
      </w:r>
    </w:p>
    <w:p w:rsidR="00007DD9" w:rsidRPr="00007DD9" w:rsidRDefault="00007DD9" w:rsidP="00007DD9">
      <w:pPr>
        <w:spacing w:after="200" w:line="360" w:lineRule="auto"/>
        <w:jc w:val="both"/>
        <w:rPr>
          <w:rFonts w:ascii="Arial" w:eastAsia="Calibri" w:hAnsi="Arial" w:cs="Arial"/>
          <w:sz w:val="20"/>
          <w:szCs w:val="20"/>
          <w:lang w:eastAsia="en-US"/>
        </w:rPr>
      </w:pPr>
      <w:r w:rsidRPr="00007DD9">
        <w:rPr>
          <w:rFonts w:ascii="Arial" w:eastAsia="Calibri" w:hAnsi="Arial" w:cs="Arial"/>
          <w:sz w:val="20"/>
          <w:szCs w:val="20"/>
          <w:lang w:eastAsia="en-US"/>
        </w:rPr>
        <w:lastRenderedPageBreak/>
        <w:t>Data e horário de término para recebimento das propostas:</w:t>
      </w:r>
      <w:proofErr w:type="gramStart"/>
      <w:r w:rsidRPr="00007DD9">
        <w:rPr>
          <w:rFonts w:ascii="Arial" w:eastAsia="Calibri" w:hAnsi="Arial" w:cs="Arial"/>
          <w:sz w:val="20"/>
          <w:szCs w:val="20"/>
          <w:lang w:eastAsia="en-US"/>
        </w:rPr>
        <w:t xml:space="preserve"> </w:t>
      </w:r>
      <w:r w:rsidRPr="00007DD9">
        <w:rPr>
          <w:rFonts w:ascii="Arial" w:eastAsia="Calibri" w:hAnsi="Arial" w:cs="Arial"/>
          <w:sz w:val="20"/>
          <w:szCs w:val="20"/>
          <w:highlight w:val="lightGray"/>
          <w:lang w:eastAsia="en-US"/>
        </w:rPr>
        <w:t xml:space="preserve"> </w:t>
      </w:r>
      <w:proofErr w:type="spellStart"/>
      <w:proofErr w:type="gramEnd"/>
      <w:r w:rsidRPr="00007DD9">
        <w:rPr>
          <w:rFonts w:ascii="Arial" w:eastAsia="Calibri" w:hAnsi="Arial" w:cs="Arial"/>
          <w:sz w:val="20"/>
          <w:szCs w:val="20"/>
          <w:highlight w:val="lightGray"/>
          <w:lang w:eastAsia="en-US"/>
        </w:rPr>
        <w:t>xx</w:t>
      </w:r>
      <w:proofErr w:type="spellEnd"/>
      <w:r w:rsidRPr="00007DD9">
        <w:rPr>
          <w:rFonts w:ascii="Arial" w:eastAsia="Calibri" w:hAnsi="Arial" w:cs="Arial"/>
          <w:b/>
          <w:sz w:val="20"/>
          <w:szCs w:val="20"/>
          <w:highlight w:val="lightGray"/>
          <w:lang w:eastAsia="en-US"/>
        </w:rPr>
        <w:t>/</w:t>
      </w:r>
      <w:proofErr w:type="spellStart"/>
      <w:r w:rsidRPr="00007DD9">
        <w:rPr>
          <w:rFonts w:ascii="Arial" w:eastAsia="Calibri" w:hAnsi="Arial" w:cs="Arial"/>
          <w:b/>
          <w:sz w:val="20"/>
          <w:szCs w:val="20"/>
          <w:highlight w:val="lightGray"/>
          <w:lang w:eastAsia="en-US"/>
        </w:rPr>
        <w:t>xx</w:t>
      </w:r>
      <w:proofErr w:type="spellEnd"/>
      <w:r w:rsidRPr="00007DD9">
        <w:rPr>
          <w:rFonts w:ascii="Arial" w:eastAsia="Calibri" w:hAnsi="Arial" w:cs="Arial"/>
          <w:b/>
          <w:sz w:val="20"/>
          <w:szCs w:val="20"/>
          <w:highlight w:val="lightGray"/>
          <w:lang w:eastAsia="en-US"/>
        </w:rPr>
        <w:t>/20xx</w:t>
      </w:r>
      <w:r w:rsidRPr="00007DD9">
        <w:rPr>
          <w:rFonts w:ascii="Arial" w:eastAsia="Calibri" w:hAnsi="Arial" w:cs="Arial"/>
          <w:sz w:val="20"/>
          <w:szCs w:val="20"/>
          <w:highlight w:val="lightGray"/>
          <w:lang w:eastAsia="en-US"/>
        </w:rPr>
        <w:t>, às xx:00 horas.</w:t>
      </w:r>
    </w:p>
    <w:p w:rsidR="00007DD9" w:rsidRPr="00007DD9" w:rsidRDefault="00007DD9" w:rsidP="00007DD9">
      <w:pPr>
        <w:spacing w:after="200" w:line="360" w:lineRule="auto"/>
        <w:jc w:val="both"/>
        <w:rPr>
          <w:rFonts w:ascii="Arial" w:eastAsia="Calibri" w:hAnsi="Arial" w:cs="Arial"/>
          <w:b/>
          <w:sz w:val="20"/>
          <w:szCs w:val="20"/>
          <w:lang w:eastAsia="en-US"/>
        </w:rPr>
      </w:pPr>
      <w:r w:rsidRPr="00007DD9">
        <w:rPr>
          <w:rFonts w:ascii="Arial" w:eastAsia="Calibri" w:hAnsi="Arial" w:cs="Arial"/>
          <w:sz w:val="20"/>
          <w:szCs w:val="20"/>
          <w:lang w:eastAsia="en-US"/>
        </w:rPr>
        <w:t xml:space="preserve">Endereço: </w:t>
      </w:r>
      <w:hyperlink r:id="rId8" w:history="1">
        <w:r w:rsidRPr="00007DD9">
          <w:rPr>
            <w:rFonts w:ascii="Arial" w:eastAsia="Calibri" w:hAnsi="Arial" w:cs="Arial"/>
            <w:b/>
            <w:color w:val="0000FF"/>
            <w:sz w:val="20"/>
            <w:szCs w:val="20"/>
            <w:u w:val="single"/>
            <w:lang w:eastAsia="en-US"/>
          </w:rPr>
          <w:t>www.comprasgovernamentais.gov.br</w:t>
        </w:r>
      </w:hyperlink>
    </w:p>
    <w:p w:rsidR="00007DD9" w:rsidRPr="00007DD9" w:rsidRDefault="00007DD9" w:rsidP="00007DD9">
      <w:pPr>
        <w:spacing w:after="200" w:line="360" w:lineRule="auto"/>
        <w:jc w:val="center"/>
        <w:rPr>
          <w:rFonts w:ascii="Arial" w:eastAsia="Calibri" w:hAnsi="Arial" w:cs="Arial"/>
          <w:b/>
          <w:sz w:val="20"/>
          <w:szCs w:val="20"/>
          <w:lang w:eastAsia="en-US"/>
        </w:rPr>
      </w:pPr>
    </w:p>
    <w:p w:rsidR="00007DD9" w:rsidRPr="00007DD9" w:rsidRDefault="00007DD9" w:rsidP="00007DD9">
      <w:pPr>
        <w:spacing w:after="200" w:line="360" w:lineRule="auto"/>
        <w:ind w:firstLine="1134"/>
        <w:jc w:val="both"/>
        <w:rPr>
          <w:rFonts w:ascii="Arial" w:eastAsia="Calibri" w:hAnsi="Arial" w:cs="Arial"/>
          <w:sz w:val="20"/>
          <w:szCs w:val="20"/>
          <w:lang w:eastAsia="en-US"/>
        </w:rPr>
      </w:pPr>
      <w:r w:rsidRPr="00007DD9">
        <w:rPr>
          <w:rFonts w:ascii="Arial" w:eastAsia="Calibri" w:hAnsi="Arial" w:cs="Arial"/>
          <w:b/>
          <w:sz w:val="20"/>
          <w:szCs w:val="20"/>
          <w:lang w:eastAsia="en-US"/>
        </w:rPr>
        <w:t>O CONSELHO FEDERAL DE ODONTOLOGIA</w:t>
      </w:r>
      <w:r w:rsidRPr="00007DD9">
        <w:rPr>
          <w:rFonts w:ascii="Arial" w:eastAsia="Calibri" w:hAnsi="Arial" w:cs="Arial"/>
          <w:sz w:val="20"/>
          <w:szCs w:val="20"/>
          <w:lang w:eastAsia="en-US"/>
        </w:rPr>
        <w:t>,</w:t>
      </w:r>
      <w:proofErr w:type="gramStart"/>
      <w:r w:rsidRPr="00007DD9">
        <w:rPr>
          <w:rFonts w:ascii="Arial" w:eastAsia="Calibri" w:hAnsi="Arial" w:cs="Arial"/>
          <w:sz w:val="20"/>
          <w:szCs w:val="20"/>
          <w:lang w:eastAsia="en-US"/>
        </w:rPr>
        <w:t xml:space="preserve">  </w:t>
      </w:r>
      <w:proofErr w:type="gramEnd"/>
      <w:r w:rsidRPr="00007DD9">
        <w:rPr>
          <w:rFonts w:ascii="Arial" w:eastAsia="Calibri" w:hAnsi="Arial" w:cs="Arial"/>
          <w:sz w:val="20"/>
          <w:szCs w:val="20"/>
          <w:lang w:eastAsia="en-US"/>
        </w:rPr>
        <w:t xml:space="preserve">por intermédio do Pregoeiro e sua Equipe de Apoio, designados pela Portaria CFO-SEC </w:t>
      </w:r>
      <w:r w:rsidRPr="00007DD9">
        <w:rPr>
          <w:rFonts w:ascii="Arial" w:eastAsia="Calibri" w:hAnsi="Arial" w:cs="Arial"/>
          <w:sz w:val="20"/>
          <w:szCs w:val="20"/>
          <w:highlight w:val="lightGray"/>
          <w:lang w:eastAsia="en-US"/>
        </w:rPr>
        <w:t xml:space="preserve">nº </w:t>
      </w:r>
      <w:proofErr w:type="spellStart"/>
      <w:r w:rsidRPr="00007DD9">
        <w:rPr>
          <w:rFonts w:ascii="Arial" w:eastAsia="Calibri" w:hAnsi="Arial" w:cs="Arial"/>
          <w:sz w:val="20"/>
          <w:szCs w:val="20"/>
          <w:highlight w:val="lightGray"/>
          <w:lang w:eastAsia="en-US"/>
        </w:rPr>
        <w:t>xxx</w:t>
      </w:r>
      <w:proofErr w:type="spellEnd"/>
      <w:r w:rsidRPr="00007DD9">
        <w:rPr>
          <w:rFonts w:ascii="Arial" w:eastAsia="Calibri" w:hAnsi="Arial" w:cs="Arial"/>
          <w:sz w:val="20"/>
          <w:szCs w:val="20"/>
          <w:highlight w:val="lightGray"/>
          <w:lang w:eastAsia="en-US"/>
        </w:rPr>
        <w:t xml:space="preserve">, de </w:t>
      </w:r>
      <w:proofErr w:type="spellStart"/>
      <w:r w:rsidRPr="00007DD9">
        <w:rPr>
          <w:rFonts w:ascii="Arial" w:eastAsia="Calibri" w:hAnsi="Arial" w:cs="Arial"/>
          <w:sz w:val="20"/>
          <w:szCs w:val="20"/>
          <w:highlight w:val="lightGray"/>
          <w:lang w:eastAsia="en-US"/>
        </w:rPr>
        <w:t>xx</w:t>
      </w:r>
      <w:proofErr w:type="spellEnd"/>
      <w:r w:rsidRPr="00007DD9">
        <w:rPr>
          <w:rFonts w:ascii="Arial" w:eastAsia="Calibri" w:hAnsi="Arial" w:cs="Arial"/>
          <w:sz w:val="20"/>
          <w:szCs w:val="20"/>
          <w:highlight w:val="lightGray"/>
          <w:lang w:eastAsia="en-US"/>
        </w:rPr>
        <w:t xml:space="preserve"> de </w:t>
      </w:r>
      <w:proofErr w:type="spellStart"/>
      <w:r w:rsidRPr="00007DD9">
        <w:rPr>
          <w:rFonts w:ascii="Arial" w:eastAsia="Calibri" w:hAnsi="Arial" w:cs="Arial"/>
          <w:sz w:val="20"/>
          <w:szCs w:val="20"/>
          <w:highlight w:val="lightGray"/>
          <w:lang w:eastAsia="en-US"/>
        </w:rPr>
        <w:t>xxxxxxxx</w:t>
      </w:r>
      <w:proofErr w:type="spellEnd"/>
      <w:r w:rsidRPr="00007DD9">
        <w:rPr>
          <w:rFonts w:ascii="Arial" w:eastAsia="Calibri" w:hAnsi="Arial" w:cs="Arial"/>
          <w:sz w:val="20"/>
          <w:szCs w:val="20"/>
          <w:highlight w:val="lightGray"/>
          <w:lang w:eastAsia="en-US"/>
        </w:rPr>
        <w:t xml:space="preserve"> de 20xx</w:t>
      </w:r>
      <w:r w:rsidRPr="00007DD9">
        <w:rPr>
          <w:rFonts w:ascii="Arial" w:eastAsia="Calibri" w:hAnsi="Arial" w:cs="Arial"/>
          <w:sz w:val="20"/>
          <w:szCs w:val="20"/>
          <w:lang w:eastAsia="en-US"/>
        </w:rPr>
        <w:t xml:space="preserve">, torna público para o conhecimento dos interessados que na data, horário e local acima indicados, fará realizar licitação na modalidade </w:t>
      </w:r>
      <w:r w:rsidRPr="00007DD9">
        <w:rPr>
          <w:rFonts w:ascii="Arial" w:eastAsia="Calibri" w:hAnsi="Arial" w:cs="Arial"/>
          <w:b/>
          <w:sz w:val="20"/>
          <w:szCs w:val="20"/>
          <w:lang w:eastAsia="en-US"/>
        </w:rPr>
        <w:t>PREGÃO na forma ELETRÔNICA</w:t>
      </w:r>
      <w:r w:rsidRPr="00007DD9">
        <w:rPr>
          <w:rFonts w:ascii="Arial" w:eastAsia="Calibri" w:hAnsi="Arial" w:cs="Arial"/>
          <w:sz w:val="20"/>
          <w:szCs w:val="20"/>
          <w:lang w:eastAsia="en-US"/>
        </w:rPr>
        <w:t xml:space="preserve">, do tipo </w:t>
      </w:r>
      <w:r w:rsidRPr="00007DD9">
        <w:rPr>
          <w:rFonts w:ascii="Arial" w:eastAsia="Calibri" w:hAnsi="Arial" w:cs="Arial"/>
          <w:b/>
          <w:sz w:val="20"/>
          <w:szCs w:val="20"/>
          <w:highlight w:val="lightGray"/>
          <w:u w:val="single"/>
          <w:lang w:eastAsia="en-US"/>
        </w:rPr>
        <w:t>XXXXXXXX</w:t>
      </w:r>
      <w:r w:rsidRPr="00007DD9">
        <w:rPr>
          <w:rFonts w:ascii="Arial" w:eastAsia="Calibri" w:hAnsi="Arial" w:cs="Arial"/>
          <w:sz w:val="20"/>
          <w:szCs w:val="20"/>
          <w:lang w:eastAsia="en-US"/>
        </w:rPr>
        <w:t>, mediante as condições estabelecidas neste Edital e seus anexos.</w:t>
      </w:r>
    </w:p>
    <w:p w:rsidR="00007DD9" w:rsidRPr="00007DD9" w:rsidRDefault="00007DD9" w:rsidP="00007DD9">
      <w:pPr>
        <w:spacing w:after="200" w:line="360" w:lineRule="auto"/>
        <w:ind w:firstLine="1134"/>
        <w:jc w:val="both"/>
        <w:rPr>
          <w:rFonts w:ascii="Arial" w:eastAsia="Calibri" w:hAnsi="Arial" w:cs="Arial"/>
          <w:color w:val="FF0000"/>
          <w:sz w:val="20"/>
          <w:szCs w:val="20"/>
          <w:lang w:eastAsia="en-US"/>
        </w:rPr>
      </w:pPr>
      <w:r w:rsidRPr="00007DD9">
        <w:rPr>
          <w:rFonts w:ascii="Arial" w:eastAsia="Calibri" w:hAnsi="Arial" w:cs="Arial"/>
          <w:sz w:val="20"/>
          <w:szCs w:val="20"/>
          <w:lang w:eastAsia="en-US"/>
        </w:rPr>
        <w:t xml:space="preserve">O procedimento licitatório obedecerá, integralmente, à Lei nº 10.520, de 17 de julho de 2002, ao Decreto nº 10.024, de 20 de setembro de 2019, que regulamenta a modalidade Pregão, na forma Eletrônica, à Lei Complementar nº 123, de 14 de dezembro de 2006, Decreto nº 9.507, de 21 de setembro de 2018, ao Decreto nº 3.722, de </w:t>
      </w:r>
      <w:proofErr w:type="gramStart"/>
      <w:r w:rsidRPr="00007DD9">
        <w:rPr>
          <w:rFonts w:ascii="Arial" w:eastAsia="Calibri" w:hAnsi="Arial" w:cs="Arial"/>
          <w:sz w:val="20"/>
          <w:szCs w:val="20"/>
          <w:lang w:eastAsia="en-US"/>
        </w:rPr>
        <w:t>9</w:t>
      </w:r>
      <w:proofErr w:type="gramEnd"/>
      <w:r w:rsidRPr="00007DD9">
        <w:rPr>
          <w:rFonts w:ascii="Arial" w:eastAsia="Calibri" w:hAnsi="Arial" w:cs="Arial"/>
          <w:sz w:val="20"/>
          <w:szCs w:val="20"/>
          <w:lang w:eastAsia="en-US"/>
        </w:rPr>
        <w:t xml:space="preserve"> de janeiro de 2001, à Lei nº 8.248, de 23 de outubro de 1991, ao Decreto nº 8.194, de 12 de fevereiro de 2014, à Lei 8.078, de 11 de setembro de 1990 – Código de Defesa do Consumidor –, à Instrução Normativa SLTI/MPOG nº 5, de 26 de maio de 2017, à Instrução Normativa SGD/ME nº 01, de 1º de abril de 2019, à Instrução Normativa SLTI/MP nº 2, de 11 de outubro de 2010, à Instrução Normativa SLTI/MP nº 3, de 16 de dezembro de 2011, à Lei nº 8.666, de 21 de junho de 1993, no que couber, legislação correlata e demais exigências previstas neste Edital e seus anexos. </w:t>
      </w:r>
      <w:r w:rsidRPr="00007DD9">
        <w:rPr>
          <w:rFonts w:ascii="Arial" w:eastAsia="Calibri" w:hAnsi="Arial" w:cs="Arial"/>
          <w:color w:val="FF0000"/>
          <w:sz w:val="20"/>
          <w:szCs w:val="20"/>
          <w:lang w:eastAsia="en-US"/>
        </w:rPr>
        <w:t>Conforme o objeto, algumas dessas legislações deverão ser retiradas.</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contextualSpacing/>
              <w:rPr>
                <w:rFonts w:ascii="Arial" w:hAnsi="Arial" w:cs="Arial"/>
                <w:sz w:val="20"/>
                <w:szCs w:val="20"/>
              </w:rPr>
            </w:pPr>
            <w:r w:rsidRPr="00007DD9">
              <w:rPr>
                <w:rFonts w:ascii="Arial" w:hAnsi="Arial" w:cs="Arial"/>
                <w:sz w:val="20"/>
                <w:szCs w:val="20"/>
              </w:rPr>
              <w:t>DO OBJETO</w:t>
            </w:r>
          </w:p>
        </w:tc>
      </w:tr>
    </w:tbl>
    <w:p w:rsidR="00007DD9" w:rsidRPr="00007DD9" w:rsidRDefault="00007DD9" w:rsidP="00007DD9">
      <w:pPr>
        <w:numPr>
          <w:ilvl w:val="1"/>
          <w:numId w:val="10"/>
        </w:numPr>
        <w:tabs>
          <w:tab w:val="num" w:pos="0"/>
        </w:tabs>
        <w:spacing w:before="240" w:after="200" w:line="360" w:lineRule="auto"/>
        <w:ind w:left="0" w:firstLine="0"/>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contextualSpacing/>
              <w:rPr>
                <w:rFonts w:ascii="Arial" w:hAnsi="Arial" w:cs="Arial"/>
                <w:sz w:val="20"/>
                <w:szCs w:val="20"/>
              </w:rPr>
            </w:pPr>
            <w:r w:rsidRPr="00007DD9">
              <w:rPr>
                <w:rFonts w:ascii="Arial" w:hAnsi="Arial" w:cs="Arial"/>
                <w:sz w:val="20"/>
                <w:szCs w:val="20"/>
              </w:rPr>
              <w:t>DA PARTICIPAÇÃO</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Poderão participar deste pregão os interessados do ramo de atividade relacionada ao objeto que atenderem a todas as exigências, inclusive quanto à documentação, constantes deste Edital e de seus anexos, desde que: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Desempenhem atividades pertinentes e compatíveis com o objeto deste Pregão;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Atendam aos requisitos mínimos de classificação das propostas exigidos neste Edital;</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Possuam registro cadastral atualizado no Sistema de Cadastramento Unificado de Fornecedores (SICAF).</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Respeitadas as demais condições normativas e as constantes do Edital, poderá participar desta contratação consórcio de empresas, atendidas as condições previstas no Art. 33 da Lei nº 8.666/1993, e aquelas estabelecidas no Edital.</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Fica vedada a participação de empresa consorciada em mais de um consórcio ou isoladamente de profissional em mais de uma empresa, ou em mais de um consórcio.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 empresa ou consórcio deverá assumir inteira responsabilidade pela inexistência de fatos que possam impedir a sua habilitação na presente licitação e, ainda, pela autenticidade de todos os documentos que forem apresentados.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As consorciadas deverão </w:t>
      </w:r>
      <w:proofErr w:type="gramStart"/>
      <w:r w:rsidRPr="00007DD9">
        <w:rPr>
          <w:rFonts w:ascii="Arial" w:hAnsi="Arial" w:cs="Arial"/>
          <w:sz w:val="20"/>
          <w:szCs w:val="20"/>
        </w:rPr>
        <w:t>apresentar,</w:t>
      </w:r>
      <w:proofErr w:type="gramEnd"/>
      <w:r w:rsidRPr="00007DD9">
        <w:rPr>
          <w:rFonts w:ascii="Arial" w:hAnsi="Arial" w:cs="Arial"/>
          <w:sz w:val="20"/>
          <w:szCs w:val="20"/>
        </w:rPr>
        <w:t xml:space="preserve"> além dos demais documentos exigidos neste Edital, compromisso de constituição de consórcio, por escritura pública ou documento particular registrado em Cartório de Registro de Títulos e Documentos, discriminando a empresa líder, bem como a participação de cada consorciado.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O prazo de duração de consórcio deve, no mínimo, coincidir com o prazo de conclusão de objeto desta contratação, até sua aceitação definitiva.</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Os consorciados deverão apresentar compromisso de que não alterarão a constituição ou composição do consórcio, visando manter válidas as premissas que asseguram a sua habilitação.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Os consorciados deverão apresentar compromisso de que não constituem nem se constituirão, para fins do consórcio, em pessoa jurídica e de que o consórcio não adotará denominação própria, diferente de seus integrantes. Os consorciados deverão apresentar compromisso que serão solidários entre si.</w:t>
      </w:r>
    </w:p>
    <w:p w:rsidR="00007DD9" w:rsidRPr="00007DD9" w:rsidRDefault="00007DD9" w:rsidP="00007DD9">
      <w:pPr>
        <w:tabs>
          <w:tab w:val="num" w:pos="3612"/>
        </w:tabs>
        <w:spacing w:before="240" w:after="200" w:line="360" w:lineRule="auto"/>
        <w:ind w:left="284"/>
        <w:contextualSpacing/>
        <w:jc w:val="both"/>
        <w:rPr>
          <w:rFonts w:ascii="Arial" w:hAnsi="Arial" w:cs="Arial"/>
          <w:color w:val="FF0000"/>
          <w:sz w:val="20"/>
          <w:szCs w:val="20"/>
        </w:rPr>
      </w:pPr>
      <w:r w:rsidRPr="00007DD9">
        <w:rPr>
          <w:rFonts w:ascii="Arial" w:hAnsi="Arial" w:cs="Arial"/>
          <w:sz w:val="20"/>
          <w:szCs w:val="20"/>
        </w:rPr>
        <w:tab/>
      </w:r>
      <w:r w:rsidRPr="00007DD9">
        <w:rPr>
          <w:rFonts w:ascii="Arial" w:hAnsi="Arial" w:cs="Arial"/>
          <w:color w:val="FF0000"/>
          <w:sz w:val="20"/>
          <w:szCs w:val="20"/>
        </w:rPr>
        <w:t>Poderá optar-se pela vedação da participação de empresas na forma de consórcio, na forma do item 2.3.6.</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Não poderão participar desta licitação: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Entidades empresariais proibidas de participar de licitações e celebrar contratos administrativos, na forma da legislação vigente;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Entidades empresariais declaradas inidôneas para licitar ou contratar com a Administração Pública, suspensas de participar de licitações, ou impedidas de contratar com o órgão ou entidade responsável por esta licitação, conforme art. 87, incisos III e IV da Lei nº 8.666 e art. 7º da Lei 10.520/2002;</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Entidades empresariais estrangeiras que não tenham representação legal no Brasil com poderes expressos para receber citação e responder administrativa ou judicialmente;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Quaisquer interessados que se </w:t>
      </w:r>
      <w:proofErr w:type="gramStart"/>
      <w:r w:rsidRPr="00007DD9">
        <w:rPr>
          <w:rFonts w:ascii="Arial" w:hAnsi="Arial" w:cs="Arial"/>
          <w:sz w:val="20"/>
          <w:szCs w:val="20"/>
        </w:rPr>
        <w:t>enquadrem</w:t>
      </w:r>
      <w:proofErr w:type="gramEnd"/>
      <w:r w:rsidRPr="00007DD9">
        <w:rPr>
          <w:rFonts w:ascii="Arial" w:hAnsi="Arial" w:cs="Arial"/>
          <w:sz w:val="20"/>
          <w:szCs w:val="20"/>
        </w:rPr>
        <w:t xml:space="preserve"> nas vedações previstas no artigo 9º da Lei nº 8.666/1993;</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Entidades empresariais que estejam </w:t>
      </w:r>
      <w:proofErr w:type="gramStart"/>
      <w:r w:rsidRPr="00007DD9">
        <w:rPr>
          <w:rFonts w:ascii="Arial" w:hAnsi="Arial" w:cs="Arial"/>
          <w:sz w:val="20"/>
          <w:szCs w:val="20"/>
        </w:rPr>
        <w:t>sob falência</w:t>
      </w:r>
      <w:proofErr w:type="gramEnd"/>
      <w:r w:rsidRPr="00007DD9">
        <w:rPr>
          <w:rFonts w:ascii="Arial" w:hAnsi="Arial" w:cs="Arial"/>
          <w:sz w:val="20"/>
          <w:szCs w:val="20"/>
        </w:rPr>
        <w:t xml:space="preserve">, em recuperação judicial ou extrajudicial, concurso de credores ou insolvência, em processo de dissolução ou liquidação; </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proofErr w:type="gramStart"/>
      <w:r w:rsidRPr="00007DD9">
        <w:rPr>
          <w:rFonts w:ascii="Arial" w:hAnsi="Arial" w:cs="Arial"/>
          <w:sz w:val="20"/>
          <w:szCs w:val="20"/>
        </w:rPr>
        <w:t>Entidade empresariais que estejam reunidas em consórcio, sejam</w:t>
      </w:r>
      <w:proofErr w:type="gramEnd"/>
      <w:r w:rsidRPr="00007DD9">
        <w:rPr>
          <w:rFonts w:ascii="Arial" w:hAnsi="Arial" w:cs="Arial"/>
          <w:sz w:val="20"/>
          <w:szCs w:val="20"/>
        </w:rPr>
        <w:t xml:space="preserve"> controladoras coligadas ou subsidiárias entre si;</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Empresas distintas, por meio de um mesmo representante;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Licitantes que tenham vínculo com servidor deste órgão de qualquer entidade a ele vinculada ou ainda que nestes tenha exercício e ou lotação, bem como de empresa que tenha como sócio administrador ou representante legal qualquer servidor público.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Pregoeiro, auxiliado pela equipe de apoio, consultará os sistemas de registros de sanções SICAF, LISTA DE INIDÔNEOS DO TCU, CNJ E CEIS, visando aferir eventual sanção aplicada à licitante, cujo efeito torne-a proibida de participar deste certame. </w:t>
      </w:r>
    </w:p>
    <w:p w:rsidR="00007DD9" w:rsidRPr="00007DD9" w:rsidRDefault="00007DD9" w:rsidP="00007DD9">
      <w:pPr>
        <w:spacing w:before="240" w:line="360" w:lineRule="auto"/>
        <w:contextualSpacing/>
        <w:jc w:val="both"/>
        <w:rPr>
          <w:rFonts w:ascii="Arial" w:hAnsi="Arial"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07DD9" w:rsidRPr="00007DD9" w:rsidTr="0038050A">
        <w:tc>
          <w:tcPr>
            <w:tcW w:w="9498"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tabs>
                <w:tab w:val="num" w:pos="0"/>
              </w:tabs>
              <w:spacing w:after="200" w:line="276" w:lineRule="auto"/>
              <w:ind w:left="30" w:hanging="30"/>
              <w:contextualSpacing/>
              <w:rPr>
                <w:rFonts w:ascii="Arial" w:hAnsi="Arial" w:cs="Arial"/>
                <w:sz w:val="20"/>
                <w:szCs w:val="20"/>
              </w:rPr>
            </w:pPr>
            <w:r w:rsidRPr="00007DD9">
              <w:rPr>
                <w:rFonts w:ascii="Arial" w:hAnsi="Arial" w:cs="Arial"/>
                <w:sz w:val="20"/>
                <w:szCs w:val="20"/>
              </w:rPr>
              <w:t xml:space="preserve">DO ENQUADRAMENTO COMO MICROEMPRESAS, EMPRESAS DE PEQUENO PORTE E </w:t>
            </w:r>
            <w:proofErr w:type="gramStart"/>
            <w:r w:rsidRPr="00007DD9">
              <w:rPr>
                <w:rFonts w:ascii="Arial" w:hAnsi="Arial" w:cs="Arial"/>
                <w:sz w:val="20"/>
                <w:szCs w:val="20"/>
              </w:rPr>
              <w:t>EQUIPARADOS</w:t>
            </w:r>
            <w:proofErr w:type="gramEnd"/>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enquadramento como microempresa – ME ou empresa de pequeno porte – EPP dar-se-á desde que atendidos os requisitos delineados na Lei Complementar nº 123/2006 e suas alterações. </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A sociedade cooperativa que tenha auferido, no ano-calendário anterior ao presente, receita bruta superior a R$360.000,00 (trezentos e sessenta mil reais) e igual ou inferior a R$4.800.000,00 (quatro milhões e oitocentos mil reais), em conformidade com as disposições do art. 34 da Lei nº 11.488/2007, receberá o mesmo tratamento concedido pela Lei Complementar nº 123/2006 às ME/EPP. </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 pessoa física ou o empresário individual que se enquadrar no inciso I ou II do art. 3º da Lei Complementar nº 123/2006, receberá o mesmo tratamento que a referida Lei concede às ME/EPP.</w:t>
      </w:r>
    </w:p>
    <w:p w:rsidR="00007DD9" w:rsidRPr="00007DD9" w:rsidRDefault="00007DD9" w:rsidP="00007DD9">
      <w:pPr>
        <w:spacing w:before="240" w:line="360" w:lineRule="auto"/>
        <w:contextualSpacing/>
        <w:jc w:val="both"/>
        <w:rPr>
          <w:rFonts w:ascii="Arial" w:hAnsi="Arial" w:cs="Arial"/>
          <w:sz w:val="20"/>
          <w:szCs w:val="20"/>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007DD9" w:rsidRPr="00007DD9" w:rsidTr="0038050A">
        <w:tc>
          <w:tcPr>
            <w:tcW w:w="9498"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DA REPRESENTAÇÃO E DO CREDENCIAMENTO</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O credenciamento dar-se-á pela atribuição de chave de identificação e de senha pessoal e intransferível, para acesso ao sistema eletrônico, no Portal de Compras do Governo Federal – Compras Governamentais, no sítio </w:t>
      </w:r>
      <w:hyperlink r:id="rId9" w:history="1">
        <w:r w:rsidRPr="00007DD9">
          <w:rPr>
            <w:rFonts w:ascii="Arial" w:hAnsi="Arial" w:cs="Arial"/>
            <w:color w:val="0000FF"/>
            <w:sz w:val="20"/>
            <w:szCs w:val="20"/>
            <w:u w:val="single"/>
          </w:rPr>
          <w:t>http://www.comprasgovernamentais.gov.br</w:t>
        </w:r>
      </w:hyperlink>
      <w:r w:rsidRPr="00007DD9">
        <w:rPr>
          <w:rFonts w:ascii="Arial" w:hAnsi="Arial" w:cs="Arial"/>
          <w:sz w:val="20"/>
          <w:szCs w:val="20"/>
        </w:rPr>
        <w:t xml:space="preserve">.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credenciamento da licitante, bem como a sua manutenção, dependerá de registro cadastral, atualizado no Sistema de Cadastramento Unificado de Fornecedores – SICAF. Alternativamente o credenciamento poderá ser feito no Sistema de Credenciamento de Fornecedores do sítio Compras Governamentais, o que permite ao fornecedor obter </w:t>
      </w:r>
      <w:proofErr w:type="spellStart"/>
      <w:r w:rsidRPr="00007DD9">
        <w:rPr>
          <w:rFonts w:ascii="Arial" w:hAnsi="Arial" w:cs="Arial"/>
          <w:sz w:val="20"/>
          <w:szCs w:val="20"/>
        </w:rPr>
        <w:t>Login</w:t>
      </w:r>
      <w:proofErr w:type="spellEnd"/>
      <w:r w:rsidRPr="00007DD9">
        <w:rPr>
          <w:rFonts w:ascii="Arial" w:hAnsi="Arial" w:cs="Arial"/>
          <w:sz w:val="20"/>
          <w:szCs w:val="20"/>
        </w:rPr>
        <w:t xml:space="preserve"> e Senha e participar de Pregões e Cotações Eletrônicas sem que haja a necessidade de se cadastrar no SICAF.</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credenciamento junto ao provedor do sistema implica responsabilidade legal da licitante ou de seu representante legal e presunção de sua capacidade técnica para realização das transações inerentes ao Pregão Eletrônico.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uso da senha de acesso pela licitante é de sua responsabilidade exclusiva, incluindo qualquer transação efetuada diretamente ou por seu representante, não cabendo ao provedor </w:t>
      </w:r>
      <w:r w:rsidRPr="00007DD9">
        <w:rPr>
          <w:rFonts w:ascii="Arial" w:hAnsi="Arial" w:cs="Arial"/>
          <w:sz w:val="20"/>
          <w:szCs w:val="20"/>
        </w:rPr>
        <w:lastRenderedPageBreak/>
        <w:t>do sistema ou ao CFO responsabilidade por eventuais danos decorrentes de uso indevido da senha, ainda que por terceiros.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perda da senha ou a quebra de sigilo deverá ser comunicada imediatamente ao provedor do sistema para imediato bloqueio de acesso.</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DA APRESENTAÇÃO DA PROPOSTA E DOS DOCUMENTOS DE HABILITAÇÃO</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envio da proposta, acompanhada dos documentos de habilitação exigidos neste Edital, ocorrerá por meio de chave de acesso e senha.</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bookmarkStart w:id="1" w:name="_Ref24016224"/>
      <w:r w:rsidRPr="00007DD9">
        <w:rPr>
          <w:rFonts w:ascii="Arial" w:hAnsi="Arial" w:cs="Arial"/>
          <w:sz w:val="20"/>
          <w:szCs w:val="20"/>
        </w:rPr>
        <w:t>Os licitantes poderão deixar de apresentar os documentos de habilitação que constem do SICAF, assegurado aos demais licitantes o direito de acesso aos dados constantes dos sistemas.</w:t>
      </w:r>
      <w:bookmarkEnd w:id="1"/>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As Microempresas e Empresas de Pequeno Porte deverão encaminhar a documentação de habilitação, ainda que haja alguma restrição de regularidade fiscal e trabalhista, nos termos do art. 43, </w:t>
      </w:r>
      <w:r w:rsidRPr="00007DD9">
        <w:rPr>
          <w:rFonts w:ascii="Arial" w:eastAsia="Arial" w:hAnsi="Arial" w:cs="Arial"/>
          <w:sz w:val="20"/>
          <w:szCs w:val="20"/>
        </w:rPr>
        <w:t xml:space="preserve">§1º da LC nº 123, de 2006.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eastAsia="Arial" w:hAnsi="Arial" w:cs="Arial"/>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eastAsia="Arial" w:hAnsi="Arial" w:cs="Arial"/>
          <w:sz w:val="20"/>
          <w:szCs w:val="20"/>
        </w:rPr>
        <w:t>Até a abertura da sessão pública, os licitantes poderão retirar ou substituir a proposta e os documentos de habilitação anteriormente inseridos no sistema.</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eastAsia="Arial" w:hAnsi="Arial" w:cs="Arial"/>
          <w:sz w:val="20"/>
          <w:szCs w:val="20"/>
        </w:rPr>
        <w:t xml:space="preserve">Não será estabelecida, nessa etapa do certame, ordem de classificação entre as propostas apresentadas, o que somente ocorrerá após a realização dos procedimentos de negociação e julgamento de proposta.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eastAsia="Arial" w:hAnsi="Arial" w:cs="Arial"/>
          <w:sz w:val="20"/>
          <w:szCs w:val="20"/>
        </w:rPr>
        <w:t>Os documentos que compõem a proposta e a habilitação do licitante melhor classificado somente serão disponibilizados para avaliação do pregoeiro e para acesso público após o encerramento do envio de lances.</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DO PREENCHIMENTO DA PROPOSTA</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licitante deverá enviar sua proposta mediante o preenchimento, no sistema eletrônico, dos seguintes campos: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Valor unitário e total do item </w:t>
      </w:r>
      <w:r w:rsidRPr="00007DD9">
        <w:rPr>
          <w:rFonts w:ascii="Arial" w:hAnsi="Arial" w:cs="Arial"/>
          <w:b/>
          <w:bCs/>
          <w:sz w:val="20"/>
          <w:szCs w:val="20"/>
          <w:u w:val="single"/>
        </w:rPr>
        <w:t>ou</w:t>
      </w:r>
      <w:r w:rsidRPr="00007DD9">
        <w:rPr>
          <w:rFonts w:ascii="Arial" w:hAnsi="Arial" w:cs="Arial"/>
          <w:sz w:val="20"/>
          <w:szCs w:val="20"/>
        </w:rPr>
        <w:t xml:space="preserve"> percentual de desconto;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Marca;</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Fabricante;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Descrição detalhada do objeto, contendo as informações similares à especificação do Termo de Referência, indicando, no que for </w:t>
      </w:r>
      <w:r w:rsidRPr="00007DD9">
        <w:rPr>
          <w:rFonts w:ascii="Arial" w:hAnsi="Arial" w:cs="Arial"/>
          <w:sz w:val="20"/>
          <w:szCs w:val="20"/>
        </w:rPr>
        <w:lastRenderedPageBreak/>
        <w:t>aplicável, o modelo, prazo de validade ou de garantia, número do registro ou inscrição do bem no órgão competente, quando for o caso.</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Todas as especificações do objeto contidas na proposta vinculam a Contratada.</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Quaisquer tributos, custos e despesas diretos ou indiretos omitidos da proposta ou incorretamente cotados serão considerados como inclusos nos preços, não sendo aceitos pleitos de acréscimos, a esse ou a qualquer título, devendo o objeto ser executado sem ônus adicional para o CFO.</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Os preços ofertados, tanto na proposta inicial, quanto na etapa de lances, serão de exclusiva responsabilidade do licitante, não lhe assistindo o direito de pleitear qualquer alteração, </w:t>
      </w:r>
      <w:proofErr w:type="gramStart"/>
      <w:r w:rsidRPr="00007DD9">
        <w:rPr>
          <w:rFonts w:ascii="Arial" w:hAnsi="Arial" w:cs="Arial"/>
          <w:sz w:val="20"/>
          <w:szCs w:val="20"/>
        </w:rPr>
        <w:t>sob alegação</w:t>
      </w:r>
      <w:proofErr w:type="gramEnd"/>
      <w:r w:rsidRPr="00007DD9">
        <w:rPr>
          <w:rFonts w:ascii="Arial" w:hAnsi="Arial" w:cs="Arial"/>
          <w:sz w:val="20"/>
          <w:szCs w:val="20"/>
        </w:rPr>
        <w:t xml:space="preserve"> de erro, omissão ou qualquer outro pretexto.</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prazo de validade da proposta não será inferior a 60 (sessenta) dias, a contar da data de sua apresentação.</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Os licitantes devem respeitar os preços máximos estabelecidos nas normas de regência de contratações públicas federais, quando participarem de licitações públicas.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Em caso de divergência entre as especificações constantes deste Edital e as registradas </w:t>
      </w:r>
      <w:proofErr w:type="gramStart"/>
      <w:r w:rsidRPr="00007DD9">
        <w:rPr>
          <w:rFonts w:ascii="Arial" w:hAnsi="Arial" w:cs="Arial"/>
          <w:sz w:val="20"/>
          <w:szCs w:val="20"/>
        </w:rPr>
        <w:t>no Compras</w:t>
      </w:r>
      <w:proofErr w:type="gramEnd"/>
      <w:r w:rsidRPr="00007DD9">
        <w:rPr>
          <w:rFonts w:ascii="Arial" w:hAnsi="Arial" w:cs="Arial"/>
          <w:sz w:val="20"/>
          <w:szCs w:val="20"/>
        </w:rPr>
        <w:t xml:space="preserve"> Governamentais, prevalecerão as do Edital.</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As licitantes deverão apresentar descrição detalhada dos equipamentos ofertados, e anexar a respectiva documentação técnica através de catálogos, folder, declaração do fabricante e/ou manuais, para comprovação das especificações técnicas mínimas, fazendo constar da proposta técnica </w:t>
      </w:r>
      <w:proofErr w:type="gramStart"/>
      <w:r w:rsidRPr="00007DD9">
        <w:rPr>
          <w:rFonts w:ascii="Arial" w:hAnsi="Arial" w:cs="Arial"/>
          <w:sz w:val="20"/>
          <w:szCs w:val="20"/>
        </w:rPr>
        <w:t>a</w:t>
      </w:r>
      <w:proofErr w:type="gramEnd"/>
      <w:r w:rsidRPr="00007DD9">
        <w:rPr>
          <w:rFonts w:ascii="Arial" w:hAnsi="Arial" w:cs="Arial"/>
          <w:sz w:val="20"/>
          <w:szCs w:val="20"/>
        </w:rPr>
        <w:t xml:space="preserve"> identificação e página do documento onde se encontra descrita cada uma das características ofertadas.</w:t>
      </w:r>
    </w:p>
    <w:p w:rsidR="00007DD9" w:rsidRPr="00007DD9" w:rsidRDefault="00007DD9" w:rsidP="00007DD9">
      <w:pPr>
        <w:numPr>
          <w:ilvl w:val="2"/>
          <w:numId w:val="10"/>
        </w:numPr>
        <w:tabs>
          <w:tab w:val="left" w:pos="0"/>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Caso as documentações não comprovem todos os requisitos técnicos dos equipamentos, a empresa licitante poderá apresentar documentação complementar do fabricante emitida com a finalidade específica para a licitação a que se refere o presente Termo de Referência.</w:t>
      </w:r>
    </w:p>
    <w:p w:rsidR="00007DD9" w:rsidRPr="00007DD9" w:rsidRDefault="00007DD9" w:rsidP="00007DD9">
      <w:pPr>
        <w:tabs>
          <w:tab w:val="left" w:pos="0"/>
          <w:tab w:val="num" w:pos="3612"/>
        </w:tabs>
        <w:spacing w:before="240" w:after="200" w:line="360" w:lineRule="auto"/>
        <w:ind w:left="284"/>
        <w:contextualSpacing/>
        <w:jc w:val="both"/>
        <w:rPr>
          <w:rFonts w:ascii="Arial" w:hAnsi="Arial" w:cs="Arial"/>
          <w:color w:val="FF0000"/>
          <w:sz w:val="20"/>
          <w:szCs w:val="20"/>
        </w:rPr>
      </w:pPr>
      <w:r w:rsidRPr="00007DD9">
        <w:rPr>
          <w:rFonts w:ascii="Arial" w:hAnsi="Arial" w:cs="Arial"/>
          <w:color w:val="FF0000"/>
          <w:sz w:val="20"/>
          <w:szCs w:val="20"/>
        </w:rPr>
        <w:t>Os itens 6.9 e 6.9.1 poderão ser retirados nos casos em que o objeto não exija o detalhamento previsto.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Serão desclassificadas as propostas que não atenderem às exigências do presente Edital e seus anexos, sejam omissas ou apresentem irregularidades, ou defeitos capazes de dificultar o julgamento.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apresentação da proposta implicará plena aceitação, por parte da licitante, das condições estabelecidas neste Edital e seus anexos.</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 xml:space="preserve">DA ABERTURA DA SESSÃO, CLASSIFICAÇÃO DAS PROPOSTAS E FORMULAÇÃO DE </w:t>
            </w:r>
            <w:proofErr w:type="gramStart"/>
            <w:r w:rsidRPr="00007DD9">
              <w:rPr>
                <w:rFonts w:ascii="Arial" w:hAnsi="Arial" w:cs="Arial"/>
                <w:sz w:val="20"/>
                <w:szCs w:val="20"/>
              </w:rPr>
              <w:t>LANCES</w:t>
            </w:r>
            <w:proofErr w:type="gramEnd"/>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lastRenderedPageBreak/>
        <w:t xml:space="preserve">A abertura da presente licitação dar-se-á em sessão pública, por meio de sistema eletrônico, na data, horário e </w:t>
      </w:r>
      <w:proofErr w:type="gramStart"/>
      <w:r w:rsidRPr="00007DD9">
        <w:rPr>
          <w:rFonts w:ascii="Arial" w:hAnsi="Arial" w:cs="Arial"/>
          <w:sz w:val="20"/>
          <w:szCs w:val="20"/>
        </w:rPr>
        <w:t>local indicados</w:t>
      </w:r>
      <w:proofErr w:type="gramEnd"/>
      <w:r w:rsidRPr="00007DD9">
        <w:rPr>
          <w:rFonts w:ascii="Arial" w:hAnsi="Arial" w:cs="Arial"/>
          <w:sz w:val="20"/>
          <w:szCs w:val="20"/>
        </w:rPr>
        <w:t xml:space="preserve"> neste Edital.</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Também será desclassificada a proposta que identifique o licitante.</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 desclassificação será sempre fundamentava e registrada no sistema, com acompanhamento em tempo real por todos os participantes.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 não desclassificação da proposta não impede o seu julgamento definitivo em sentido contrário, levando a efeito na fase de aceitação.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sistema ordenará automaticamente as propostas classificadas, sendo que somente estas participarão da fase de lances.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desclassificação de proposta será sempre fundamentada e registrada no sistema, com acompanhamento em tempo real por todos os participantes.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sistema disponibilizará campo próprio para troca de mensagens entre o Pregoeiro e as licitantes, após a fase de lances.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Aberta a etapa competitiva, as licitantes poderão registrar lances exclusivamente por meio do sistema eletrônico, sendo a licitante imediatamente informada do seu recebimento e respectivo horário de registro e valor. </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highlight w:val="lightGray"/>
        </w:rPr>
      </w:pPr>
      <w:r w:rsidRPr="00007DD9">
        <w:rPr>
          <w:rFonts w:ascii="Arial" w:hAnsi="Arial" w:cs="Arial"/>
          <w:sz w:val="20"/>
          <w:szCs w:val="20"/>
        </w:rPr>
        <w:t xml:space="preserve">O lance deverá ser ofertado </w:t>
      </w:r>
      <w:r w:rsidRPr="00007DD9">
        <w:rPr>
          <w:rFonts w:ascii="Arial" w:hAnsi="Arial" w:cs="Arial"/>
          <w:sz w:val="20"/>
          <w:szCs w:val="20"/>
          <w:highlight w:val="lightGray"/>
        </w:rPr>
        <w:t xml:space="preserve">pelo valor total/unitário do item </w:t>
      </w:r>
      <w:r w:rsidRPr="00007DD9">
        <w:rPr>
          <w:rFonts w:ascii="Arial" w:hAnsi="Arial" w:cs="Arial"/>
          <w:b/>
          <w:bCs/>
          <w:sz w:val="20"/>
          <w:szCs w:val="20"/>
          <w:highlight w:val="lightGray"/>
          <w:u w:val="single"/>
        </w:rPr>
        <w:t>ou</w:t>
      </w:r>
      <w:r w:rsidRPr="00007DD9">
        <w:rPr>
          <w:rFonts w:ascii="Arial" w:hAnsi="Arial" w:cs="Arial"/>
          <w:sz w:val="20"/>
          <w:szCs w:val="20"/>
          <w:highlight w:val="lightGray"/>
        </w:rPr>
        <w:t xml:space="preserve"> percentual de desconto.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licitantes poderão oferecer lances sucessivos, observado o horário fixado para a abertura da sessão e as regras de sua aceitação.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As licitantes somente poderão oferecer lances de </w:t>
      </w:r>
      <w:r w:rsidRPr="00007DD9">
        <w:rPr>
          <w:rFonts w:ascii="Arial" w:hAnsi="Arial" w:cs="Arial"/>
          <w:sz w:val="20"/>
          <w:szCs w:val="20"/>
          <w:highlight w:val="lightGray"/>
        </w:rPr>
        <w:t>valor inferior ou percentual de desconto superior</w:t>
      </w:r>
      <w:r w:rsidRPr="00007DD9">
        <w:rPr>
          <w:rFonts w:ascii="Arial" w:hAnsi="Arial" w:cs="Arial"/>
          <w:sz w:val="20"/>
          <w:szCs w:val="20"/>
        </w:rPr>
        <w:t xml:space="preserve"> ao </w:t>
      </w:r>
      <w:proofErr w:type="gramStart"/>
      <w:r w:rsidRPr="00007DD9">
        <w:rPr>
          <w:rFonts w:ascii="Arial" w:hAnsi="Arial" w:cs="Arial"/>
          <w:sz w:val="20"/>
          <w:szCs w:val="20"/>
        </w:rPr>
        <w:t>último por ela ofertados e registrados pelo sistema</w:t>
      </w:r>
      <w:proofErr w:type="gramEnd"/>
      <w:r w:rsidRPr="00007DD9">
        <w:rPr>
          <w:rFonts w:ascii="Arial" w:hAnsi="Arial" w:cs="Arial"/>
          <w:sz w:val="20"/>
          <w:szCs w:val="20"/>
        </w:rPr>
        <w:t>.</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intervalo mínimo de diferença de valores ou percentuais entre os lances, que incidirá tanto em relação aos lances intermediários quanto em relação à proposta que cobrir a melhor oferta deverá </w:t>
      </w:r>
      <w:proofErr w:type="gramStart"/>
      <w:r w:rsidRPr="00007DD9">
        <w:rPr>
          <w:rFonts w:ascii="Arial" w:hAnsi="Arial" w:cs="Arial"/>
          <w:sz w:val="20"/>
          <w:szCs w:val="20"/>
        </w:rPr>
        <w:t>ser ...</w:t>
      </w:r>
      <w:proofErr w:type="gramEnd"/>
      <w:r w:rsidRPr="00007DD9">
        <w:rPr>
          <w:rFonts w:ascii="Arial" w:hAnsi="Arial" w:cs="Arial"/>
          <w:sz w:val="20"/>
          <w:szCs w:val="20"/>
        </w:rPr>
        <w:t>...........(...........).</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intervalo entre os lances enviados pelo mesmo licitante não poderá ser inferior a vinte (20) segundos e o intervalo entre lances não poderá ser inferior a três (3) segundos,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serem automaticamente descartados pelo sistema os respectivos lances.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Será adotado para o envio de lances no pregão eletrônico o modo de disputa “aberto”, em que os licitantes apresentarão lances públicos e sucessivos, com prorrogações.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 etapa de lances da sessão pública terá duração de dez minutos e, após isso, será prorrogada automaticamente pelo sistema quando houver lance ofertado nos últimos dois minutos do período de duração da sessão pública.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lastRenderedPageBreak/>
        <w:t>A prorrogação automática da etapa de lances, de que trata o item anterior, será de dois minutos e ocorrerá sucessivamente sempre que houver lances enviados nesse período de prorrogação, inclusive no caso de lances intermediários.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Não havendo novos lances na forma estabelecida nos itens anteriores, a sessão pública encerrar-se-á automaticamente.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007DD9" w:rsidRPr="00007DD9" w:rsidRDefault="00007DD9" w:rsidP="00007DD9">
      <w:pPr>
        <w:spacing w:before="240" w:line="360" w:lineRule="auto"/>
        <w:contextualSpacing/>
        <w:jc w:val="both"/>
        <w:rPr>
          <w:rFonts w:ascii="Arial" w:hAnsi="Arial" w:cs="Arial"/>
          <w:color w:val="FF0000"/>
          <w:sz w:val="20"/>
          <w:szCs w:val="20"/>
        </w:rPr>
      </w:pPr>
      <w:r w:rsidRPr="00007DD9">
        <w:rPr>
          <w:rFonts w:ascii="Arial" w:hAnsi="Arial" w:cs="Arial"/>
          <w:b/>
          <w:bCs/>
          <w:color w:val="FF0000"/>
          <w:sz w:val="20"/>
          <w:szCs w:val="20"/>
        </w:rPr>
        <w:t>OU, dependendo do objeto: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Será adotado para o envio de lances no pregão eletrônico o modo de disputa “aberto e fechado”, em que os licitantes apresentarão lances públicos e sucessivos, com lance final e fechado.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Após o término dos prazos estabelecidos nos itens anteriores, o sistema ordenará os lances segundo a ordem crescente de valores.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Poderá o pregoeiro, auxiliado pela equipe de apoio, justificadamente, admitir o reinício da etapa fechada, caso nenhum licitante classificado na etapa de lance fechado atender às exigências de habilitação. </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Não serão aceitos dois ou mais lances de mesmo valor, prevalecendo aquele que for recebido e registrado em primeiro lugar.</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Durante a sessão pública, as licitantes serão informadas, em tempo real, dos valores dos menores lances registrados, vedada a identificação das empresas participantes do certame.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 xml:space="preserve">O critério de julgamento adotado será o </w:t>
      </w:r>
      <w:r w:rsidRPr="00007DD9">
        <w:rPr>
          <w:rFonts w:ascii="Arial" w:hAnsi="Arial" w:cs="Arial"/>
          <w:b/>
          <w:sz w:val="20"/>
          <w:szCs w:val="20"/>
        </w:rPr>
        <w:t>menor preço global/por item/maior desconto</w:t>
      </w:r>
      <w:r w:rsidRPr="00007DD9">
        <w:rPr>
          <w:rFonts w:ascii="Arial" w:hAnsi="Arial" w:cs="Arial"/>
          <w:sz w:val="20"/>
          <w:szCs w:val="20"/>
        </w:rPr>
        <w:t xml:space="preserve">, conforme definido neste Edital e em seus anexos.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lastRenderedPageBreak/>
        <w:t>Caso o licitante não apresente lances, concorrerá com o valor de sua proposta.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sidRPr="00007DD9">
        <w:rPr>
          <w:rFonts w:ascii="Arial" w:hAnsi="Arial" w:cs="Arial"/>
          <w:sz w:val="20"/>
          <w:szCs w:val="20"/>
        </w:rPr>
        <w:t>as</w:t>
      </w:r>
      <w:proofErr w:type="gramEnd"/>
      <w:r w:rsidRPr="00007DD9">
        <w:rPr>
          <w:rFonts w:ascii="Arial" w:hAnsi="Arial" w:cs="Arial"/>
          <w:sz w:val="20"/>
          <w:szCs w:val="20"/>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sidRPr="00007DD9">
        <w:rPr>
          <w:rFonts w:ascii="Arial" w:hAnsi="Arial" w:cs="Arial"/>
          <w:sz w:val="20"/>
          <w:szCs w:val="20"/>
        </w:rPr>
        <w:t>arts</w:t>
      </w:r>
      <w:proofErr w:type="spellEnd"/>
      <w:r w:rsidRPr="00007DD9">
        <w:rPr>
          <w:rFonts w:ascii="Arial" w:hAnsi="Arial" w:cs="Arial"/>
          <w:sz w:val="20"/>
          <w:szCs w:val="20"/>
        </w:rPr>
        <w:t>. 44 e 45 da LC nº 123, de 2006, regulamentada pelo Decreto nº 8.538, de2015.</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Nessas condições, as propostas de microempresas e empresas de pequeno porte que se encontrarem na faixa de até 5% (cinco por cento) acima da melhor proposta</w:t>
      </w:r>
      <w:proofErr w:type="gramStart"/>
      <w:r w:rsidRPr="00007DD9">
        <w:rPr>
          <w:rFonts w:ascii="Arial" w:hAnsi="Arial" w:cs="Arial"/>
          <w:sz w:val="20"/>
          <w:szCs w:val="20"/>
        </w:rPr>
        <w:t xml:space="preserve"> ou melhor</w:t>
      </w:r>
      <w:proofErr w:type="gramEnd"/>
      <w:r w:rsidRPr="00007DD9">
        <w:rPr>
          <w:rFonts w:ascii="Arial" w:hAnsi="Arial" w:cs="Arial"/>
          <w:sz w:val="20"/>
          <w:szCs w:val="20"/>
        </w:rPr>
        <w:t xml:space="preserve"> lance serão consideradas empatadas com a primeira colocada.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sidRPr="00007DD9">
        <w:rPr>
          <w:rFonts w:ascii="Arial" w:hAnsi="Arial" w:cs="Arial"/>
          <w:sz w:val="20"/>
          <w:szCs w:val="20"/>
        </w:rPr>
        <w:t>5</w:t>
      </w:r>
      <w:proofErr w:type="gramEnd"/>
      <w:r w:rsidRPr="00007DD9">
        <w:rPr>
          <w:rFonts w:ascii="Arial" w:hAnsi="Arial" w:cs="Arial"/>
          <w:sz w:val="20"/>
          <w:szCs w:val="20"/>
        </w:rPr>
        <w:t xml:space="preserve"> (cinco) minutos controlados pelo sistema, contados após a comunicação automática para tanto.</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A microempresa ou empresa de pequeno porte, que venha a ser contratada para a prestação de serviços mediante cessão de mão-de-obra não poderá beneficiar-se da condição de optante pelo Simples Nacional, salvo as exceções previstas no § 5º-C do art. 18 da Lei Complementar nº 123/2006.</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 xml:space="preserve">Para efeito de comprovação do disposto no subitem acima, a contratada deverá apresentar cópia do ofício, enviado à Receita Federal do Brasil, com comprovante de entrega e recebimento, comunicando a assinatura do contrato de prestação de serviços mediante cessão de mão-de-obra, até o último dia útil do mês subsequente ao da ocorrência da situação de vedação.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sz w:val="20"/>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bCs/>
          <w:sz w:val="20"/>
          <w:szCs w:val="20"/>
        </w:rPr>
        <w:lastRenderedPageBreak/>
        <w:t>Havendo eventual empate entre propostas ou lances, o critério de desempate será aquele previsto no art. 3º, §2º, da Lei nº 8.666, de 1993, assegurando-se a preferência, sucessivamente, aos bens produzidos:</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b/>
          <w:sz w:val="20"/>
          <w:szCs w:val="20"/>
        </w:rPr>
      </w:pPr>
      <w:r w:rsidRPr="00007DD9">
        <w:rPr>
          <w:rFonts w:ascii="Arial" w:hAnsi="Arial" w:cs="Arial"/>
          <w:bCs/>
          <w:sz w:val="20"/>
          <w:szCs w:val="20"/>
        </w:rPr>
        <w:t>No país;</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b/>
          <w:sz w:val="20"/>
          <w:szCs w:val="20"/>
        </w:rPr>
      </w:pPr>
      <w:r w:rsidRPr="00007DD9">
        <w:rPr>
          <w:rFonts w:ascii="Arial" w:hAnsi="Arial" w:cs="Arial"/>
          <w:bCs/>
          <w:sz w:val="20"/>
          <w:szCs w:val="20"/>
        </w:rPr>
        <w:t>Por empresas brasileiras;</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b/>
          <w:sz w:val="20"/>
          <w:szCs w:val="20"/>
        </w:rPr>
      </w:pPr>
      <w:r w:rsidRPr="00007DD9">
        <w:rPr>
          <w:rFonts w:ascii="Arial" w:hAnsi="Arial" w:cs="Arial"/>
          <w:bCs/>
          <w:sz w:val="20"/>
          <w:szCs w:val="20"/>
        </w:rPr>
        <w:t>Por empresas que invistam em pesquisa e no desenvolvimento de tecnologia no País;</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b/>
          <w:sz w:val="20"/>
          <w:szCs w:val="20"/>
        </w:rPr>
      </w:pPr>
      <w:r w:rsidRPr="00007DD9">
        <w:rPr>
          <w:rFonts w:ascii="Arial" w:hAnsi="Arial" w:cs="Arial"/>
          <w:bCs/>
          <w:sz w:val="20"/>
          <w:szCs w:val="20"/>
        </w:rPr>
        <w:t>Por empresas que comprovem cumprimento de reserva de cargos prevista em lei para pessoa com deficiência ou para reabilitado da Previdência Social e que atendam às regras de acessibilidade previstas na legislação.</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b/>
          <w:sz w:val="20"/>
          <w:szCs w:val="20"/>
        </w:rPr>
      </w:pPr>
      <w:r w:rsidRPr="00007DD9">
        <w:rPr>
          <w:rFonts w:ascii="Arial" w:hAnsi="Arial" w:cs="Arial"/>
          <w:bCs/>
          <w:sz w:val="20"/>
          <w:szCs w:val="20"/>
        </w:rPr>
        <w:t>Persistindo o empate, a proposta vencedora será sorteada pelo sistema eletrônico dentre as propostas empatadas.</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Após o encerramento da etapa de lances da sessão pública, o Pregoeiro deverá encaminhar, pelo sistema eletrônico, contraproposta à licitante que tenha apresentado o melhor preço, para que seja obtida melhor proposta, observado o critério de julgamento, não se admitindo negociar condições diferentes daquelas previstas neste Edital.</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A negociação será realizada por meio do sistema, podendo ser acompanhada pelas demais licitantes.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O pregoeiro solicitará ao licitante melhor classificado que no prazo mínimo de </w:t>
      </w:r>
      <w:proofErr w:type="gramStart"/>
      <w:r w:rsidRPr="00007DD9">
        <w:rPr>
          <w:rFonts w:ascii="Arial" w:hAnsi="Arial" w:cs="Arial"/>
          <w:b/>
          <w:bCs/>
          <w:sz w:val="20"/>
          <w:szCs w:val="20"/>
        </w:rPr>
        <w:t>2</w:t>
      </w:r>
      <w:proofErr w:type="gramEnd"/>
      <w:r w:rsidRPr="00007DD9">
        <w:rPr>
          <w:rFonts w:ascii="Arial" w:hAnsi="Arial" w:cs="Arial"/>
          <w:b/>
          <w:bCs/>
          <w:sz w:val="20"/>
          <w:szCs w:val="20"/>
        </w:rPr>
        <w:t xml:space="preserve"> (duas) horas</w:t>
      </w:r>
      <w:r w:rsidRPr="00007DD9">
        <w:rPr>
          <w:rFonts w:ascii="Arial" w:hAnsi="Arial" w:cs="Arial"/>
          <w:sz w:val="20"/>
          <w:szCs w:val="20"/>
        </w:rPr>
        <w:t xml:space="preserve">, envie proposta adequada ao último lance ofertado após a negociação realizada, acompanhada, se for o caso, dos documentos complementares, quando necessários à confirmação daqueles exigidos neste Edital e já apresentados.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Após a negociação do preço, o Pregoeiro iniciará a fase de aceitação e julgamento da proposta. </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Para a aquisição de bens comuns de informática e automação, definidos no art. 16-A da Lei nº 8.248, de 1991, será assegurado o direito de preferência previsto no seu artigo 3º, conforme procedimento estabelecido nos artigos 5º e 8º do Decreto nº 7.174, de 2010.</w:t>
      </w:r>
    </w:p>
    <w:p w:rsidR="00007DD9" w:rsidRPr="00007DD9" w:rsidRDefault="00007DD9" w:rsidP="00007DD9">
      <w:pPr>
        <w:numPr>
          <w:ilvl w:val="2"/>
          <w:numId w:val="10"/>
        </w:numPr>
        <w:tabs>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007DD9" w:rsidRPr="00007DD9" w:rsidRDefault="00007DD9" w:rsidP="00007DD9">
      <w:pPr>
        <w:numPr>
          <w:ilvl w:val="2"/>
          <w:numId w:val="10"/>
        </w:numPr>
        <w:tabs>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 xml:space="preserve">Quando aplicada a margem de preferência a que se refere o Decreto nº 7.546, de </w:t>
      </w:r>
      <w:proofErr w:type="gramStart"/>
      <w:r w:rsidRPr="00007DD9">
        <w:rPr>
          <w:rFonts w:ascii="Arial" w:hAnsi="Arial" w:cs="Arial"/>
          <w:sz w:val="20"/>
          <w:szCs w:val="20"/>
        </w:rPr>
        <w:t>2</w:t>
      </w:r>
      <w:proofErr w:type="gramEnd"/>
      <w:r w:rsidRPr="00007DD9">
        <w:rPr>
          <w:rFonts w:ascii="Arial" w:hAnsi="Arial" w:cs="Arial"/>
          <w:sz w:val="20"/>
          <w:szCs w:val="20"/>
        </w:rPr>
        <w:t xml:space="preserve"> de agosto de 2011, não se aplicará o desempate previsto no Decreto nº 7.174, de 2010.</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pelo Pregoeiro.</w:t>
      </w:r>
    </w:p>
    <w:p w:rsidR="00007DD9" w:rsidRPr="00007DD9" w:rsidRDefault="00007DD9" w:rsidP="00007DD9">
      <w:pPr>
        <w:numPr>
          <w:ilvl w:val="2"/>
          <w:numId w:val="10"/>
        </w:numPr>
        <w:tabs>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Nesta situação, a proposta beneficiada pela aplicação da margem de preferencia tornar-se-á a proposta classificada em primeiro lugar.</w:t>
      </w:r>
    </w:p>
    <w:p w:rsidR="00007DD9" w:rsidRPr="00007DD9" w:rsidRDefault="00007DD9" w:rsidP="00007DD9">
      <w:pPr>
        <w:spacing w:before="240" w:after="240" w:line="360" w:lineRule="auto"/>
        <w:contextualSpacing/>
        <w:jc w:val="both"/>
        <w:rPr>
          <w:rFonts w:ascii="Arial" w:hAnsi="Arial" w:cs="Arial"/>
          <w:color w:val="FF0000"/>
          <w:sz w:val="20"/>
          <w:szCs w:val="20"/>
        </w:rPr>
      </w:pPr>
      <w:r w:rsidRPr="00007DD9">
        <w:rPr>
          <w:rFonts w:ascii="Arial" w:hAnsi="Arial" w:cs="Arial"/>
          <w:color w:val="FF0000"/>
          <w:sz w:val="20"/>
          <w:szCs w:val="20"/>
        </w:rPr>
        <w:t>Os itens 7.39, 7.39.1, 7.39.2, 7.40 e 7.40.1 deverão ser incluídos apenas quando houver previsão de aquisição de produto manufaturado nacional beneficiado por critérios normativos de margem de preferência.</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DA DESCONEXÃO</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No caso de desconexão do Pregoeiro, no decorrer da etapa de lances, o sistema eletrônico poderá permanecer acessível às licitantes para a recepção dos lances, retornando o Pregoeiro, quando possível, para sua atuação no certame, sem prejuízo dos atos realizados.</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Quando a desconexão do Pregoeiro persistir por tempo superior a dez minutos, a sessão do Pregão na forma eletrônica será suspensa e reiniciada somente após a comunicação às participantes, no endereço eletrônico utilizado para divulgação. </w:t>
      </w:r>
    </w:p>
    <w:p w:rsidR="00007DD9" w:rsidRPr="00007DD9" w:rsidRDefault="00007DD9" w:rsidP="00007DD9">
      <w:pPr>
        <w:spacing w:before="240" w:line="360" w:lineRule="auto"/>
        <w:ind w:left="284"/>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DA ACEITABILIDADE DA PROPOSTA VENCEDORA</w:t>
            </w:r>
          </w:p>
        </w:tc>
      </w:tr>
    </w:tbl>
    <w:p w:rsidR="00007DD9" w:rsidRPr="00007DD9" w:rsidRDefault="00007DD9" w:rsidP="00007DD9">
      <w:pPr>
        <w:numPr>
          <w:ilvl w:val="1"/>
          <w:numId w:val="10"/>
        </w:numPr>
        <w:tabs>
          <w:tab w:val="left"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§9º do art. 26 do Decreto nº 10.024/2019.</w:t>
      </w:r>
    </w:p>
    <w:p w:rsidR="00007DD9" w:rsidRPr="00007DD9" w:rsidRDefault="00007DD9" w:rsidP="00007DD9">
      <w:pPr>
        <w:numPr>
          <w:ilvl w:val="1"/>
          <w:numId w:val="10"/>
        </w:numPr>
        <w:tabs>
          <w:tab w:val="left"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O licitante qualificado como produtor rural pessoa física deverá incluir, na sua proposta, os percentuais das contribuições previstas no art. 176 da Instrução Normativa RFB n. 971, de 2009, em razão do disposto no art. 184, inciso V,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desclassificação.</w:t>
      </w:r>
    </w:p>
    <w:p w:rsidR="00007DD9" w:rsidRPr="00007DD9" w:rsidRDefault="00007DD9" w:rsidP="00007DD9">
      <w:pPr>
        <w:numPr>
          <w:ilvl w:val="1"/>
          <w:numId w:val="10"/>
        </w:numPr>
        <w:tabs>
          <w:tab w:val="left"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Será desclassificada a proposta ou o lance vencedor, que apresentar preço final superior ao preço máximo fixado (Acórdão nº 1455/2018 – TCU – Plenário), ou que apresentar preço manifestamente inexequível.</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 xml:space="preserve">Considera-se inexequível a proposta que apresente preços </w:t>
      </w:r>
      <w:proofErr w:type="gramStart"/>
      <w:r w:rsidRPr="00007DD9">
        <w:rPr>
          <w:rFonts w:ascii="Arial" w:hAnsi="Arial" w:cs="Arial"/>
          <w:sz w:val="20"/>
          <w:szCs w:val="20"/>
        </w:rPr>
        <w:t>global ou unitários simbólicos, irrisórios</w:t>
      </w:r>
      <w:proofErr w:type="gramEnd"/>
      <w:r w:rsidRPr="00007DD9">
        <w:rPr>
          <w:rFonts w:ascii="Arial" w:hAnsi="Arial" w:cs="Arial"/>
          <w:sz w:val="20"/>
          <w:szCs w:val="2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A inexequibilidade dos valores referentes a itens isolados da planilha de custos, desde que não comprometam o valor global ou contrariem instrumentos legais, não caracteriza motivo suficiente para a desclassificação da proposta.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Qualquer interessado poderá requerer que se realizem diligências para aferir a exequibilidade e a legalidade das propostas, devendo apresentar as provas ou os indícios que fundamentam a suspeita.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Na hipótese de necessidade de suspensão da sessão pública para a realização de diligências, com vistas ao saneamento das propostas, a sessão pública somente poderá ser </w:t>
      </w:r>
      <w:r w:rsidRPr="00007DD9">
        <w:rPr>
          <w:rFonts w:ascii="Arial" w:hAnsi="Arial" w:cs="Arial"/>
          <w:sz w:val="20"/>
          <w:szCs w:val="20"/>
        </w:rPr>
        <w:lastRenderedPageBreak/>
        <w:t>reiniciada mediante aviso prévio no sistema com, no mínimo, vinte e quatro horas de antecedência, e a ocorrência será registrada em ata.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 xml:space="preserve">O Pregoeiro poderá convocar o licitante para enviar documento digital complementar, por meio de funcionalidade disponível no sistema, no prazo </w:t>
      </w:r>
      <w:proofErr w:type="gramStart"/>
      <w:r w:rsidRPr="00007DD9">
        <w:rPr>
          <w:rFonts w:ascii="Arial" w:hAnsi="Arial" w:cs="Arial"/>
          <w:sz w:val="20"/>
          <w:szCs w:val="20"/>
        </w:rPr>
        <w:t>de ...</w:t>
      </w:r>
      <w:proofErr w:type="gramEnd"/>
      <w:r w:rsidRPr="00007DD9">
        <w:rPr>
          <w:rFonts w:ascii="Arial" w:hAnsi="Arial" w:cs="Arial"/>
          <w:sz w:val="20"/>
          <w:szCs w:val="20"/>
        </w:rPr>
        <w:t xml:space="preserve">.....(.............), sob pena de não aceitação da proposta. </w:t>
      </w:r>
    </w:p>
    <w:p w:rsidR="00007DD9" w:rsidRPr="00007DD9" w:rsidRDefault="00007DD9" w:rsidP="00007DD9">
      <w:pPr>
        <w:tabs>
          <w:tab w:val="num" w:pos="705"/>
        </w:tabs>
        <w:spacing w:before="240" w:after="240" w:line="360" w:lineRule="auto"/>
        <w:contextualSpacing/>
        <w:jc w:val="both"/>
        <w:rPr>
          <w:rFonts w:ascii="Arial" w:hAnsi="Arial" w:cs="Arial"/>
          <w:color w:val="FF0000"/>
          <w:sz w:val="20"/>
          <w:szCs w:val="20"/>
        </w:rPr>
      </w:pPr>
      <w:r w:rsidRPr="00007DD9">
        <w:rPr>
          <w:rFonts w:ascii="Arial" w:hAnsi="Arial" w:cs="Arial"/>
          <w:color w:val="FF0000"/>
          <w:sz w:val="20"/>
          <w:szCs w:val="20"/>
        </w:rPr>
        <w:t>O prazo razoável será não inferior a 2 horas.</w:t>
      </w:r>
    </w:p>
    <w:p w:rsidR="00007DD9" w:rsidRPr="00007DD9" w:rsidRDefault="00007DD9" w:rsidP="00007DD9">
      <w:pPr>
        <w:numPr>
          <w:ilvl w:val="2"/>
          <w:numId w:val="10"/>
        </w:numPr>
        <w:tabs>
          <w:tab w:val="clear" w:pos="3612"/>
          <w:tab w:val="num" w:pos="284"/>
          <w:tab w:val="num" w:pos="1276"/>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 xml:space="preserve">O prazo estabelecido poderá ser prorrogado pelo </w:t>
      </w:r>
      <w:proofErr w:type="gramStart"/>
      <w:r w:rsidRPr="00007DD9">
        <w:rPr>
          <w:rFonts w:ascii="Arial" w:hAnsi="Arial" w:cs="Arial"/>
          <w:sz w:val="20"/>
          <w:szCs w:val="20"/>
        </w:rPr>
        <w:t>Pregoeiro por solicitação escrita e justificada do licitante, formulada antes de findo o prazo, e formalmente aceita pelo Pregoeiro</w:t>
      </w:r>
      <w:proofErr w:type="gramEnd"/>
      <w:r w:rsidRPr="00007DD9">
        <w:rPr>
          <w:rFonts w:ascii="Arial" w:hAnsi="Arial" w:cs="Arial"/>
          <w:sz w:val="20"/>
          <w:szCs w:val="20"/>
        </w:rPr>
        <w:t>.</w:t>
      </w:r>
    </w:p>
    <w:p w:rsidR="00007DD9" w:rsidRPr="00007DD9" w:rsidRDefault="00007DD9" w:rsidP="00007DD9">
      <w:pPr>
        <w:numPr>
          <w:ilvl w:val="2"/>
          <w:numId w:val="10"/>
        </w:numPr>
        <w:tabs>
          <w:tab w:val="clear" w:pos="3612"/>
          <w:tab w:val="num" w:pos="284"/>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 xml:space="preserve">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não aceitação da proposta.</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Se a proposta ou lance vencedor for desclassificado, o Pregoeiro examinará a proposta ou lance subsequente, e, assim, sucessivamente, na ordem de classificação.</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Havendo necessidade, o Pregoeiro suspenderá a sessão, informando no “</w:t>
      </w:r>
      <w:r w:rsidRPr="00007DD9">
        <w:rPr>
          <w:rFonts w:ascii="Arial" w:hAnsi="Arial" w:cs="Arial"/>
          <w:i/>
          <w:iCs/>
          <w:sz w:val="20"/>
          <w:szCs w:val="20"/>
        </w:rPr>
        <w:t>chat</w:t>
      </w:r>
      <w:r w:rsidRPr="00007DD9">
        <w:rPr>
          <w:rFonts w:ascii="Arial" w:hAnsi="Arial" w:cs="Arial"/>
          <w:sz w:val="20"/>
          <w:szCs w:val="20"/>
        </w:rPr>
        <w:t>” a nova data e horário para a sua continuidade.</w:t>
      </w:r>
    </w:p>
    <w:p w:rsidR="00007DD9" w:rsidRPr="00007DD9" w:rsidRDefault="00007DD9" w:rsidP="00007DD9">
      <w:pPr>
        <w:numPr>
          <w:ilvl w:val="1"/>
          <w:numId w:val="10"/>
        </w:numPr>
        <w:tabs>
          <w:tab w:val="num" w:pos="0"/>
        </w:tabs>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O Pregoeiro deverá encaminhar, por meio do sistema eletrônico, contraproposta ao licitante que apresentou o lance mais vantajoso, com o fim de negociar a obtenção de melhor preço, vedada a negociação em condições diversas das previstas neste Edital.</w:t>
      </w:r>
    </w:p>
    <w:p w:rsidR="00007DD9" w:rsidRPr="00007DD9" w:rsidRDefault="00007DD9" w:rsidP="00007DD9">
      <w:pPr>
        <w:numPr>
          <w:ilvl w:val="2"/>
          <w:numId w:val="10"/>
        </w:numPr>
        <w:tabs>
          <w:tab w:val="clear" w:pos="3612"/>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Também nas hipóteses em que o Pregoeiro não aceitar a proposta e passar à subsequente, poderá negociar com o licitante para que seja obtido preço melhor.</w:t>
      </w:r>
    </w:p>
    <w:p w:rsidR="00007DD9" w:rsidRPr="00007DD9" w:rsidRDefault="00007DD9" w:rsidP="00007DD9">
      <w:pPr>
        <w:numPr>
          <w:ilvl w:val="2"/>
          <w:numId w:val="10"/>
        </w:numPr>
        <w:tabs>
          <w:tab w:val="clear" w:pos="3612"/>
        </w:tabs>
        <w:spacing w:before="240" w:after="240" w:line="360" w:lineRule="auto"/>
        <w:ind w:left="284" w:firstLine="0"/>
        <w:contextualSpacing/>
        <w:jc w:val="both"/>
        <w:rPr>
          <w:rFonts w:ascii="Arial" w:hAnsi="Arial" w:cs="Arial"/>
          <w:sz w:val="20"/>
          <w:szCs w:val="20"/>
        </w:rPr>
      </w:pPr>
      <w:r w:rsidRPr="00007DD9">
        <w:rPr>
          <w:rFonts w:ascii="Arial" w:hAnsi="Arial" w:cs="Arial"/>
          <w:sz w:val="20"/>
          <w:szCs w:val="20"/>
        </w:rPr>
        <w:t>A negociação será realizada por meio do sistema, podendo ser acompanhada pelo demais licitantes.</w:t>
      </w:r>
    </w:p>
    <w:p w:rsidR="00007DD9" w:rsidRPr="00007DD9" w:rsidRDefault="00007DD9" w:rsidP="00007DD9">
      <w:pPr>
        <w:numPr>
          <w:ilvl w:val="1"/>
          <w:numId w:val="10"/>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de eventual ocorrência do empate ficto, previsto nos artigos 44 e 45 da LC nº 123, de 2006, seguindo-se a disciplina antes estabelecida, se for o caso.</w:t>
      </w:r>
    </w:p>
    <w:p w:rsidR="00007DD9" w:rsidRPr="00007DD9" w:rsidRDefault="00007DD9" w:rsidP="00007DD9">
      <w:pPr>
        <w:numPr>
          <w:ilvl w:val="1"/>
          <w:numId w:val="10"/>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Encerrada a análise quanto à aceitação da proposta, o Pregoeiro verificará a habilitação do licitante, observado o disposto neste Edital.</w:t>
      </w:r>
    </w:p>
    <w:p w:rsidR="00007DD9" w:rsidRPr="00007DD9" w:rsidRDefault="00007DD9" w:rsidP="00007DD9">
      <w:pPr>
        <w:spacing w:before="240" w:after="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0"/>
              </w:numPr>
              <w:spacing w:after="200" w:line="276" w:lineRule="auto"/>
              <w:ind w:left="22" w:hanging="22"/>
              <w:contextualSpacing/>
              <w:rPr>
                <w:rFonts w:ascii="Arial" w:hAnsi="Arial" w:cs="Arial"/>
                <w:sz w:val="20"/>
                <w:szCs w:val="20"/>
              </w:rPr>
            </w:pPr>
            <w:r w:rsidRPr="00007DD9">
              <w:rPr>
                <w:rFonts w:ascii="Arial" w:hAnsi="Arial" w:cs="Arial"/>
                <w:sz w:val="20"/>
                <w:szCs w:val="20"/>
              </w:rPr>
              <w:t>DA HABILITAÇÃO</w:t>
            </w:r>
          </w:p>
        </w:tc>
      </w:tr>
    </w:tbl>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007DD9" w:rsidRPr="00007DD9" w:rsidRDefault="00007DD9" w:rsidP="00007DD9">
      <w:pPr>
        <w:numPr>
          <w:ilvl w:val="2"/>
          <w:numId w:val="10"/>
        </w:numPr>
        <w:tabs>
          <w:tab w:val="clear" w:pos="3612"/>
          <w:tab w:val="num" w:pos="284"/>
          <w:tab w:val="num" w:pos="851"/>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lastRenderedPageBreak/>
        <w:t>SICAF;</w:t>
      </w:r>
    </w:p>
    <w:p w:rsidR="00007DD9" w:rsidRPr="00007DD9" w:rsidRDefault="00007DD9" w:rsidP="00007DD9">
      <w:pPr>
        <w:numPr>
          <w:ilvl w:val="2"/>
          <w:numId w:val="10"/>
        </w:numPr>
        <w:tabs>
          <w:tab w:val="clear" w:pos="3612"/>
          <w:tab w:val="num" w:pos="284"/>
          <w:tab w:val="num" w:pos="567"/>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Consulta Consolidada de Pessoa Jurídica do Tribunal de Contas da União (</w:t>
      </w:r>
      <w:hyperlink r:id="rId10" w:history="1">
        <w:r w:rsidRPr="00007DD9">
          <w:rPr>
            <w:rFonts w:ascii="Arial" w:hAnsi="Arial" w:cs="Arial"/>
            <w:color w:val="0000FF"/>
            <w:sz w:val="20"/>
            <w:szCs w:val="20"/>
            <w:u w:val="single"/>
          </w:rPr>
          <w:t>http://certidoes-apf.apps.tcu.gov.br/</w:t>
        </w:r>
      </w:hyperlink>
      <w:r w:rsidRPr="00007DD9">
        <w:rPr>
          <w:rFonts w:ascii="Arial" w:hAnsi="Arial" w:cs="Arial"/>
          <w:sz w:val="20"/>
          <w:szCs w:val="20"/>
        </w:rPr>
        <w:t xml:space="preserve">) </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consulta aos cadastros será realizada em nome da empresa licitante e também de seu sócio majoritário, por força do artigo 12 da Lei nº 8.249, de 1992, que prevê, dentre as sanções impostas ao responsável pela prática de ato de improbidade administrativa, a proibição de contratar com o Poder Público, inclusive por intermédio de pessoa jurídica da qual seja sócio majoritário.</w:t>
      </w:r>
    </w:p>
    <w:p w:rsidR="00007DD9" w:rsidRPr="00007DD9" w:rsidRDefault="00007DD9" w:rsidP="00007DD9">
      <w:pPr>
        <w:numPr>
          <w:ilvl w:val="3"/>
          <w:numId w:val="11"/>
        </w:numPr>
        <w:spacing w:before="240" w:after="200" w:line="360" w:lineRule="auto"/>
        <w:ind w:left="567" w:firstLine="0"/>
        <w:contextualSpacing/>
        <w:jc w:val="both"/>
        <w:rPr>
          <w:rFonts w:ascii="Arial" w:hAnsi="Arial" w:cs="Arial"/>
          <w:b/>
          <w:sz w:val="20"/>
          <w:szCs w:val="20"/>
        </w:rPr>
      </w:pPr>
      <w:r w:rsidRPr="00007DD9">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007DD9" w:rsidRPr="00007DD9" w:rsidRDefault="00007DD9" w:rsidP="00007DD9">
      <w:pPr>
        <w:numPr>
          <w:ilvl w:val="3"/>
          <w:numId w:val="11"/>
        </w:numPr>
        <w:spacing w:before="240" w:after="200" w:line="360" w:lineRule="auto"/>
        <w:ind w:left="567" w:firstLine="0"/>
        <w:contextualSpacing/>
        <w:jc w:val="both"/>
        <w:rPr>
          <w:rFonts w:ascii="Arial" w:hAnsi="Arial" w:cs="Arial"/>
          <w:b/>
          <w:sz w:val="20"/>
          <w:szCs w:val="20"/>
        </w:rPr>
      </w:pPr>
      <w:r w:rsidRPr="00007DD9">
        <w:rPr>
          <w:rFonts w:ascii="Arial" w:hAnsi="Arial" w:cs="Arial"/>
          <w:sz w:val="20"/>
          <w:szCs w:val="20"/>
        </w:rPr>
        <w:t>A tentativa de burla será verificada por meio dos vínculos societários, linhas de fornecimento similares, dentre outros.</w:t>
      </w:r>
    </w:p>
    <w:p w:rsidR="00007DD9" w:rsidRPr="00007DD9" w:rsidRDefault="00007DD9" w:rsidP="00007DD9">
      <w:pPr>
        <w:numPr>
          <w:ilvl w:val="3"/>
          <w:numId w:val="11"/>
        </w:numPr>
        <w:spacing w:before="240" w:after="200" w:line="360" w:lineRule="auto"/>
        <w:ind w:left="567" w:firstLine="0"/>
        <w:contextualSpacing/>
        <w:jc w:val="both"/>
        <w:rPr>
          <w:rFonts w:ascii="Arial" w:hAnsi="Arial" w:cs="Arial"/>
          <w:b/>
          <w:sz w:val="20"/>
          <w:szCs w:val="20"/>
        </w:rPr>
      </w:pPr>
      <w:r w:rsidRPr="00007DD9">
        <w:rPr>
          <w:rFonts w:ascii="Arial" w:hAnsi="Arial" w:cs="Arial"/>
          <w:sz w:val="20"/>
          <w:szCs w:val="20"/>
        </w:rPr>
        <w:t xml:space="preserve">O licitante será convocado para manifestação previamente à sua desclassificação. </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Constatada a existência de sanção, o Pregoeiro reputará o licitante inabilitado por falta de condição de participação.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No caso de inabilitação, haverá nova verificação, pelo sistema, da eventual ocorrência do empate ficto, previsto nos </w:t>
      </w:r>
      <w:proofErr w:type="spellStart"/>
      <w:r w:rsidRPr="00007DD9">
        <w:rPr>
          <w:rFonts w:ascii="Arial" w:hAnsi="Arial" w:cs="Arial"/>
          <w:sz w:val="20"/>
          <w:szCs w:val="20"/>
        </w:rPr>
        <w:t>arts</w:t>
      </w:r>
      <w:proofErr w:type="spellEnd"/>
      <w:r w:rsidRPr="00007DD9">
        <w:rPr>
          <w:rFonts w:ascii="Arial" w:hAnsi="Arial" w:cs="Arial"/>
          <w:sz w:val="20"/>
          <w:szCs w:val="20"/>
        </w:rPr>
        <w:t>. 44 e 45 da Lei Complementar nº 123, de 2006, seguindo-se a disciplina antes estabelecida para aceitação da proposta subsequente.</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Caso atendidas as condições de participação, a habilitação do licitante será verificada por meio do SICAF, nos documentos por ele abrangidos em relação à habilitação jurídica, à regularidade fiscal e trabalhista, à qualificação econômico-financeira e habilitação técnica, conforme o disposto na Instrução Normativa SEGES/MP nº 03, de 2018.</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007DD9" w:rsidRPr="00007DD9" w:rsidRDefault="00007DD9" w:rsidP="00007DD9">
      <w:pPr>
        <w:numPr>
          <w:ilvl w:val="2"/>
          <w:numId w:val="10"/>
        </w:numPr>
        <w:tabs>
          <w:tab w:val="clear" w:pos="3612"/>
          <w:tab w:val="num" w:pos="284"/>
          <w:tab w:val="num" w:pos="1701"/>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É dever </w:t>
      </w:r>
      <w:proofErr w:type="gramStart"/>
      <w:r w:rsidRPr="00007DD9">
        <w:rPr>
          <w:rFonts w:ascii="Arial" w:hAnsi="Arial" w:cs="Arial"/>
          <w:sz w:val="20"/>
          <w:szCs w:val="20"/>
        </w:rPr>
        <w:t>do licitante atualizar</w:t>
      </w:r>
      <w:proofErr w:type="gramEnd"/>
      <w:r w:rsidRPr="00007DD9">
        <w:rPr>
          <w:rFonts w:ascii="Arial" w:hAnsi="Arial" w:cs="Arial"/>
          <w:sz w:val="20"/>
          <w:szCs w:val="20"/>
        </w:rPr>
        <w:t xml:space="preserve"> previamente as comprovações constantes do SICAF para que estejam vigentes na data da abertura da sessão pública, ou encaminhar, em conjunto com a apresentação da proposta, a respectiva documentação atualizada.</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007DD9">
        <w:rPr>
          <w:rFonts w:ascii="Arial" w:hAnsi="Arial" w:cs="Arial"/>
          <w:sz w:val="20"/>
          <w:szCs w:val="20"/>
        </w:rPr>
        <w:t>certidão(</w:t>
      </w:r>
      <w:proofErr w:type="spellStart"/>
      <w:proofErr w:type="gramEnd"/>
      <w:r w:rsidRPr="00007DD9">
        <w:rPr>
          <w:rFonts w:ascii="Arial" w:hAnsi="Arial" w:cs="Arial"/>
          <w:sz w:val="20"/>
          <w:szCs w:val="20"/>
        </w:rPr>
        <w:t>ões</w:t>
      </w:r>
      <w:proofErr w:type="spellEnd"/>
      <w:r w:rsidRPr="00007DD9">
        <w:rPr>
          <w:rFonts w:ascii="Arial" w:hAnsi="Arial" w:cs="Arial"/>
          <w:sz w:val="20"/>
          <w:szCs w:val="20"/>
        </w:rPr>
        <w:t>) válida(s), conforme art. 43, §3º, do Decreto 10.024, de 2019.</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Havendo a necessidade de envio de documentos de habilitação complementares, necessários à confirmação daqueles exigidos neste Edital e já apresentados, o licitante será convocado a encaminhá-los, em formato digital, via sistema, no prazo </w:t>
      </w:r>
      <w:proofErr w:type="gramStart"/>
      <w:r w:rsidRPr="00007DD9">
        <w:rPr>
          <w:rFonts w:ascii="Arial" w:hAnsi="Arial" w:cs="Arial"/>
          <w:sz w:val="20"/>
          <w:szCs w:val="20"/>
        </w:rPr>
        <w:t>de ...</w:t>
      </w:r>
      <w:proofErr w:type="gramEnd"/>
      <w:r w:rsidRPr="00007DD9">
        <w:rPr>
          <w:rFonts w:ascii="Arial" w:hAnsi="Arial" w:cs="Arial"/>
          <w:sz w:val="20"/>
          <w:szCs w:val="20"/>
        </w:rPr>
        <w:t>.......(..........) horas, sob pena de inabilitação.</w:t>
      </w:r>
    </w:p>
    <w:p w:rsidR="00007DD9" w:rsidRPr="00007DD9" w:rsidRDefault="00007DD9" w:rsidP="00007DD9">
      <w:pPr>
        <w:tabs>
          <w:tab w:val="num" w:pos="705"/>
        </w:tabs>
        <w:spacing w:before="240" w:after="240" w:line="360" w:lineRule="auto"/>
        <w:contextualSpacing/>
        <w:jc w:val="both"/>
        <w:rPr>
          <w:rFonts w:ascii="Arial" w:hAnsi="Arial" w:cs="Arial"/>
          <w:color w:val="FF0000"/>
          <w:sz w:val="20"/>
          <w:szCs w:val="20"/>
        </w:rPr>
      </w:pPr>
      <w:r w:rsidRPr="00007DD9">
        <w:rPr>
          <w:rFonts w:ascii="Arial" w:hAnsi="Arial" w:cs="Arial"/>
          <w:color w:val="FF0000"/>
          <w:sz w:val="20"/>
          <w:szCs w:val="20"/>
        </w:rPr>
        <w:lastRenderedPageBreak/>
        <w:t>O prazo razoável será não inferior a 2 horas.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Somente haverá a necessidade de comprovação do preenchimento de requisitos mediante apresentação dos documentos originais </w:t>
      </w:r>
      <w:proofErr w:type="gramStart"/>
      <w:r w:rsidRPr="00007DD9">
        <w:rPr>
          <w:rFonts w:ascii="Arial" w:hAnsi="Arial" w:cs="Arial"/>
          <w:sz w:val="20"/>
          <w:szCs w:val="20"/>
        </w:rPr>
        <w:t>não-digitais</w:t>
      </w:r>
      <w:proofErr w:type="gramEnd"/>
      <w:r w:rsidRPr="00007DD9">
        <w:rPr>
          <w:rFonts w:ascii="Arial" w:hAnsi="Arial" w:cs="Arial"/>
          <w:sz w:val="20"/>
          <w:szCs w:val="20"/>
        </w:rPr>
        <w:t xml:space="preserve"> quando houver dúvida em relação à integridade do documento digital.</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Não serão aceitos documentos de habilitação com indicação de CNPJ/CPF diferentes, salvo aqueles legalmente permitidos.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Conforme art. 42 do Decreto 10.024/2019, caso a licitante esteja reunida em consórcio, serão exigidas: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comprovação da existência de compromisso público ou particular de constituição de consórcio, com indicação da empresa líder, que atenderá às condições de liderança estabelecidas no edital e representará as consorciadas perante a União.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apresentação da documentação de habilitação especificada no edital por empresa consorciada.</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comprovação da capacidade técnica do consórcio pelo somatório dos quantitativos de cada empresa consorciada, na forma estabelecida no edital.</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demonstração, por cada empresa consorciada, do atendimento aos índices contábeis definidos no edital, para fins de qualificação econômico-financeira.</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responsabilidade solidária das empresas consorciadas pelas obrigações do consórcio, nas etapas da licitação e durante a vigência do contrato.</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obrigatoriedade de liderança por empresa brasileira no consórcio formado por empresas brasileiras e estrangeiras.</w:t>
      </w:r>
    </w:p>
    <w:p w:rsidR="00007DD9" w:rsidRPr="00007DD9" w:rsidRDefault="00007DD9" w:rsidP="00007DD9">
      <w:pPr>
        <w:numPr>
          <w:ilvl w:val="2"/>
          <w:numId w:val="10"/>
        </w:numPr>
        <w:tabs>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constituição e o registro do consórcio antes da celebração do contrato.</w:t>
      </w:r>
    </w:p>
    <w:p w:rsidR="00007DD9" w:rsidRPr="00007DD9" w:rsidRDefault="00007DD9" w:rsidP="00007DD9">
      <w:pPr>
        <w:spacing w:before="240" w:after="200" w:line="360" w:lineRule="auto"/>
        <w:contextualSpacing/>
        <w:jc w:val="both"/>
        <w:rPr>
          <w:rFonts w:ascii="Arial" w:hAnsi="Arial" w:cs="Arial"/>
          <w:b/>
          <w:color w:val="FF0000"/>
          <w:sz w:val="20"/>
          <w:szCs w:val="20"/>
        </w:rPr>
      </w:pPr>
      <w:r w:rsidRPr="00007DD9">
        <w:rPr>
          <w:rFonts w:ascii="Arial" w:hAnsi="Arial" w:cs="Arial"/>
          <w:b/>
          <w:color w:val="FF0000"/>
          <w:sz w:val="20"/>
          <w:szCs w:val="20"/>
        </w:rPr>
        <w:t>O item 10.6 e seus subitens não se aplicam em caso de vedação da participação de consórcios.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Se o licitante for a matriz, todos os documentos deverão estar em nome da matriz, e se o licitante for filial, todos os documentos deverão estar em nome da filial, exceto aqueles documentos que, pela própria natureza, comprovadamente, forem emitidos somente em nome da matriz.</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rsidR="00007DD9" w:rsidRPr="00007DD9" w:rsidRDefault="00007DD9" w:rsidP="00007DD9">
      <w:pPr>
        <w:numPr>
          <w:ilvl w:val="1"/>
          <w:numId w:val="10"/>
        </w:numPr>
        <w:spacing w:before="240" w:after="200" w:line="360" w:lineRule="auto"/>
        <w:ind w:left="0" w:firstLine="0"/>
        <w:contextualSpacing/>
        <w:jc w:val="both"/>
        <w:rPr>
          <w:rFonts w:ascii="Arial" w:hAnsi="Arial" w:cs="Arial"/>
          <w:b/>
          <w:sz w:val="20"/>
          <w:szCs w:val="20"/>
        </w:rPr>
      </w:pPr>
      <w:r w:rsidRPr="00007DD9">
        <w:rPr>
          <w:rFonts w:ascii="Arial" w:hAnsi="Arial" w:cs="Arial"/>
          <w:bCs/>
          <w:sz w:val="20"/>
          <w:szCs w:val="20"/>
        </w:rPr>
        <w:t xml:space="preserve">Ressalvado o disposto no item </w:t>
      </w:r>
      <w:r w:rsidRPr="00007DD9">
        <w:rPr>
          <w:rFonts w:ascii="Arial" w:hAnsi="Arial" w:cs="Arial"/>
          <w:bCs/>
          <w:sz w:val="20"/>
          <w:szCs w:val="20"/>
        </w:rPr>
        <w:fldChar w:fldCharType="begin"/>
      </w:r>
      <w:r w:rsidRPr="00007DD9">
        <w:rPr>
          <w:rFonts w:ascii="Arial" w:hAnsi="Arial" w:cs="Arial"/>
          <w:bCs/>
          <w:sz w:val="20"/>
          <w:szCs w:val="20"/>
        </w:rPr>
        <w:instrText xml:space="preserve"> REF _Ref24016224 \r \h  \* MERGEFORMAT </w:instrText>
      </w:r>
      <w:r w:rsidRPr="00007DD9">
        <w:rPr>
          <w:rFonts w:ascii="Arial" w:hAnsi="Arial" w:cs="Arial"/>
          <w:bCs/>
          <w:sz w:val="20"/>
          <w:szCs w:val="20"/>
        </w:rPr>
      </w:r>
      <w:r w:rsidRPr="00007DD9">
        <w:rPr>
          <w:rFonts w:ascii="Arial" w:hAnsi="Arial" w:cs="Arial"/>
          <w:bCs/>
          <w:sz w:val="20"/>
          <w:szCs w:val="20"/>
        </w:rPr>
        <w:fldChar w:fldCharType="separate"/>
      </w:r>
      <w:r w:rsidRPr="00007DD9">
        <w:rPr>
          <w:rFonts w:ascii="Arial" w:hAnsi="Arial" w:cs="Arial"/>
          <w:bCs/>
          <w:sz w:val="20"/>
          <w:szCs w:val="20"/>
        </w:rPr>
        <w:t>5.3</w:t>
      </w:r>
      <w:r w:rsidRPr="00007DD9">
        <w:rPr>
          <w:rFonts w:ascii="Arial" w:hAnsi="Arial" w:cs="Arial"/>
          <w:bCs/>
          <w:sz w:val="20"/>
          <w:szCs w:val="20"/>
        </w:rPr>
        <w:fldChar w:fldCharType="end"/>
      </w:r>
      <w:r w:rsidRPr="00007DD9">
        <w:rPr>
          <w:rFonts w:ascii="Arial" w:hAnsi="Arial" w:cs="Arial"/>
          <w:bCs/>
          <w:sz w:val="20"/>
          <w:szCs w:val="20"/>
          <w:highlight w:val="lightGray"/>
        </w:rPr>
        <w:t>,</w:t>
      </w:r>
      <w:r w:rsidRPr="00007DD9">
        <w:rPr>
          <w:rFonts w:ascii="Arial" w:hAnsi="Arial" w:cs="Arial"/>
          <w:bCs/>
          <w:sz w:val="20"/>
          <w:szCs w:val="20"/>
        </w:rPr>
        <w:t xml:space="preserve"> os licitantes deverão encaminhar, nos termos deste Edital, a documentação relacionada nos itens a seguir, para fins de habilitação:</w:t>
      </w:r>
    </w:p>
    <w:p w:rsidR="00007DD9" w:rsidRPr="00007DD9" w:rsidRDefault="00007DD9" w:rsidP="00007DD9">
      <w:pPr>
        <w:spacing w:before="240" w:line="360" w:lineRule="auto"/>
        <w:contextualSpacing/>
        <w:jc w:val="both"/>
        <w:rPr>
          <w:rFonts w:ascii="Arial" w:hAnsi="Arial" w:cs="Arial"/>
          <w:b/>
          <w:sz w:val="20"/>
          <w:szCs w:val="20"/>
        </w:rPr>
      </w:pP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b/>
          <w:sz w:val="20"/>
          <w:szCs w:val="20"/>
        </w:rPr>
        <w:lastRenderedPageBreak/>
        <w:t>Habilitação Jurídica</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No caso de empresa individual: inscrição no Registro Público de Empresas Mercantis, a cargo da Junta Comercial da respectiva sede.</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 xml:space="preserve">Em se tratando de microempreendedor individual – MEI: Certificado da Condição de Microempreendedor Individual – CCMEI, cuja aceitação ficará condicionada à verificação da autenticidade no sítio </w:t>
      </w:r>
      <w:hyperlink r:id="rId11" w:history="1">
        <w:r w:rsidRPr="00007DD9">
          <w:rPr>
            <w:rFonts w:ascii="Arial" w:hAnsi="Arial" w:cs="Arial"/>
            <w:bCs/>
            <w:color w:val="0000FF"/>
            <w:sz w:val="20"/>
            <w:szCs w:val="20"/>
            <w:u w:val="single"/>
          </w:rPr>
          <w:t>www.portaldoempreendedor.gov.br</w:t>
        </w:r>
      </w:hyperlink>
      <w:r w:rsidRPr="00007DD9">
        <w:rPr>
          <w:rFonts w:ascii="Arial" w:hAnsi="Arial" w:cs="Arial"/>
          <w:bCs/>
          <w:sz w:val="20"/>
          <w:szCs w:val="20"/>
        </w:rPr>
        <w:t>.</w:t>
      </w:r>
    </w:p>
    <w:p w:rsidR="00007DD9" w:rsidRPr="00007DD9" w:rsidRDefault="00007DD9" w:rsidP="00007DD9">
      <w:pPr>
        <w:numPr>
          <w:ilvl w:val="2"/>
          <w:numId w:val="10"/>
        </w:numPr>
        <w:tabs>
          <w:tab w:val="clear" w:pos="3612"/>
          <w:tab w:val="num" w:pos="284"/>
          <w:tab w:val="num" w:pos="993"/>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 xml:space="preserve">    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07DD9" w:rsidRPr="00007DD9" w:rsidRDefault="00007DD9" w:rsidP="00007DD9">
      <w:pPr>
        <w:numPr>
          <w:ilvl w:val="2"/>
          <w:numId w:val="10"/>
        </w:numPr>
        <w:tabs>
          <w:tab w:val="clear" w:pos="3612"/>
          <w:tab w:val="num" w:pos="284"/>
          <w:tab w:val="num" w:pos="851"/>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 xml:space="preserve">Inscrição no Registro Público de Empresas Mercantis onde </w:t>
      </w:r>
      <w:proofErr w:type="gramStart"/>
      <w:r w:rsidRPr="00007DD9">
        <w:rPr>
          <w:rFonts w:ascii="Arial" w:hAnsi="Arial" w:cs="Arial"/>
          <w:bCs/>
          <w:sz w:val="20"/>
          <w:szCs w:val="20"/>
        </w:rPr>
        <w:t>opera,</w:t>
      </w:r>
      <w:proofErr w:type="gramEnd"/>
      <w:r w:rsidRPr="00007DD9">
        <w:rPr>
          <w:rFonts w:ascii="Arial" w:hAnsi="Arial" w:cs="Arial"/>
          <w:bCs/>
          <w:sz w:val="20"/>
          <w:szCs w:val="20"/>
        </w:rPr>
        <w:t xml:space="preserve"> com averbação no Registro onde tem sede a matriz, no caso de ser o participante sucursal, filial ou agência.</w:t>
      </w:r>
    </w:p>
    <w:p w:rsidR="00007DD9" w:rsidRPr="00007DD9" w:rsidRDefault="00007DD9" w:rsidP="00007DD9">
      <w:pPr>
        <w:numPr>
          <w:ilvl w:val="2"/>
          <w:numId w:val="10"/>
        </w:numPr>
        <w:tabs>
          <w:tab w:val="clear" w:pos="3612"/>
          <w:tab w:val="num" w:pos="284"/>
          <w:tab w:val="num" w:pos="1276"/>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No caso de sociedade simples: inscrição do ato constitutivo no Registro Civil das Pessoas Jurídicas do local de sua sede, acompanhada de prova da indicação dos seus administradores.</w:t>
      </w:r>
    </w:p>
    <w:p w:rsidR="00007DD9" w:rsidRPr="00007DD9" w:rsidRDefault="00007DD9" w:rsidP="00007DD9">
      <w:pPr>
        <w:numPr>
          <w:ilvl w:val="2"/>
          <w:numId w:val="10"/>
        </w:numPr>
        <w:tabs>
          <w:tab w:val="clear" w:pos="3612"/>
          <w:tab w:val="num" w:pos="284"/>
          <w:tab w:val="num" w:pos="993"/>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No caso de empresa ou sociedade estrangeira em funcionamento no País: decreto de autorização.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bCs/>
          <w:sz w:val="20"/>
          <w:szCs w:val="20"/>
        </w:rPr>
        <w:t xml:space="preserve">No caso de exercício de atividade de </w:t>
      </w:r>
      <w:proofErr w:type="spellStart"/>
      <w:r w:rsidRPr="00007DD9">
        <w:rPr>
          <w:rFonts w:ascii="Arial" w:hAnsi="Arial" w:cs="Arial"/>
          <w:bCs/>
          <w:sz w:val="20"/>
          <w:szCs w:val="20"/>
        </w:rPr>
        <w:t>xxxxxxxxx</w:t>
      </w:r>
      <w:proofErr w:type="spellEnd"/>
      <w:r w:rsidRPr="00007DD9">
        <w:rPr>
          <w:rFonts w:ascii="Arial" w:hAnsi="Arial" w:cs="Arial"/>
          <w:bCs/>
          <w:sz w:val="20"/>
          <w:szCs w:val="20"/>
        </w:rPr>
        <w:t xml:space="preserve">: ato de registro ou autorização para funcionamento expedido pelo órgão competente, nos termos do artigo </w:t>
      </w:r>
      <w:proofErr w:type="spellStart"/>
      <w:r w:rsidRPr="00007DD9">
        <w:rPr>
          <w:rFonts w:ascii="Arial" w:hAnsi="Arial" w:cs="Arial"/>
          <w:bCs/>
          <w:sz w:val="20"/>
          <w:szCs w:val="20"/>
        </w:rPr>
        <w:t>xx</w:t>
      </w:r>
      <w:proofErr w:type="spellEnd"/>
      <w:r w:rsidRPr="00007DD9">
        <w:rPr>
          <w:rFonts w:ascii="Arial" w:hAnsi="Arial" w:cs="Arial"/>
          <w:bCs/>
          <w:sz w:val="20"/>
          <w:szCs w:val="20"/>
        </w:rPr>
        <w:t xml:space="preserve"> da Lei/Decreto n</w:t>
      </w:r>
      <w:r w:rsidRPr="00007DD9">
        <w:rPr>
          <w:rFonts w:ascii="Arial" w:hAnsi="Arial" w:cs="Arial"/>
          <w:sz w:val="20"/>
          <w:szCs w:val="20"/>
        </w:rPr>
        <w:t xml:space="preserve">º </w:t>
      </w:r>
      <w:proofErr w:type="spellStart"/>
      <w:r w:rsidRPr="00007DD9">
        <w:rPr>
          <w:rFonts w:ascii="Arial" w:hAnsi="Arial" w:cs="Arial"/>
          <w:sz w:val="20"/>
          <w:szCs w:val="20"/>
        </w:rPr>
        <w:t>xxxx</w:t>
      </w:r>
      <w:proofErr w:type="spellEnd"/>
      <w:r w:rsidRPr="00007DD9">
        <w:rPr>
          <w:rFonts w:ascii="Arial" w:hAnsi="Arial" w:cs="Arial"/>
          <w:sz w:val="20"/>
          <w:szCs w:val="20"/>
        </w:rPr>
        <w:t>, se for o caso.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Os documentos acima deverão estar acompanhados de todas as alterações ou consolidação respectiva.</w:t>
      </w:r>
    </w:p>
    <w:p w:rsidR="00007DD9" w:rsidRPr="00007DD9" w:rsidRDefault="00007DD9" w:rsidP="00007DD9">
      <w:pPr>
        <w:spacing w:before="240" w:line="360" w:lineRule="auto"/>
        <w:ind w:left="284"/>
        <w:contextualSpacing/>
        <w:jc w:val="both"/>
        <w:rPr>
          <w:rFonts w:ascii="Arial" w:hAnsi="Arial" w:cs="Arial"/>
          <w:b/>
          <w:sz w:val="20"/>
          <w:szCs w:val="20"/>
        </w:rPr>
      </w:pP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b/>
          <w:sz w:val="20"/>
          <w:szCs w:val="20"/>
        </w:rPr>
        <w:t>Regularidades Fiscal e Trabalhista</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Prova de inscrição no Cadastro Nacional de Pessoas Jurídicas – CNPJ ou no Cadastro de Pessoas Físicas, conforme o caso.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Prova de Regularidade fiscal perante a Fazenda Nacional, mediante apresentação de certidão expedia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Procuradoria-Geral da Fazenda Nacional.</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Prova de regularidade perante o Fundo de Garantia por Tempo de Serviço (FGTS).</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rsidR="00007DD9" w:rsidRPr="00007DD9" w:rsidRDefault="00007DD9" w:rsidP="00007DD9">
      <w:pPr>
        <w:numPr>
          <w:ilvl w:val="2"/>
          <w:numId w:val="10"/>
        </w:numPr>
        <w:tabs>
          <w:tab w:val="clear" w:pos="3612"/>
          <w:tab w:val="num" w:pos="284"/>
          <w:tab w:val="num" w:pos="709"/>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Prova de inscrição no cadastro de contribuintes estadual, relativo ao domicílio ou sede do licitante, pertinente ao seu ramo de atividade e compatível com o objeto contratual.</w:t>
      </w:r>
    </w:p>
    <w:p w:rsidR="00007DD9" w:rsidRPr="00007DD9" w:rsidRDefault="00007DD9" w:rsidP="00007DD9">
      <w:pPr>
        <w:numPr>
          <w:ilvl w:val="2"/>
          <w:numId w:val="10"/>
        </w:numPr>
        <w:tabs>
          <w:tab w:val="clear" w:pos="3612"/>
          <w:tab w:val="num" w:pos="284"/>
          <w:tab w:val="num" w:pos="567"/>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Prova de regularidade com a Fazenda Estatual do domicílio ou sede do licitante, relativa à atividade em cujo exercício </w:t>
      </w:r>
      <w:proofErr w:type="gramStart"/>
      <w:r w:rsidRPr="00007DD9">
        <w:rPr>
          <w:rFonts w:ascii="Arial" w:hAnsi="Arial" w:cs="Arial"/>
          <w:sz w:val="20"/>
          <w:szCs w:val="20"/>
        </w:rPr>
        <w:t>contratada</w:t>
      </w:r>
      <w:proofErr w:type="gramEnd"/>
      <w:r w:rsidRPr="00007DD9">
        <w:rPr>
          <w:rFonts w:ascii="Arial" w:hAnsi="Arial" w:cs="Arial"/>
          <w:sz w:val="20"/>
          <w:szCs w:val="20"/>
        </w:rPr>
        <w:t xml:space="preserve"> ou concorre.</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Caso o fornecedor seja considerado isento dos tributos estaduais relacionados ao objeto licitatório, deverá comprovar tal condição mediante a declaração da Fazenda Estadual do seu domicílio ou sede, ou outra equivalente, na forma da lei.</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Caso o licitante detentor do menor preço seja qualificado como microempresa ou empresa de pequeno porte, deverá apresentar toda a documentação exigida para efeito de comprovação de regularidade fiscal, mesmo que esta apresente alguma restrição,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inabilitação.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p>
    <w:p w:rsidR="00007DD9" w:rsidRPr="00007DD9" w:rsidRDefault="00007DD9" w:rsidP="00007DD9">
      <w:pPr>
        <w:spacing w:before="240" w:line="360" w:lineRule="auto"/>
        <w:ind w:left="284"/>
        <w:contextualSpacing/>
        <w:jc w:val="both"/>
        <w:rPr>
          <w:rFonts w:ascii="Arial" w:hAnsi="Arial" w:cs="Arial"/>
          <w:b/>
          <w:color w:val="FF0000"/>
          <w:sz w:val="20"/>
          <w:szCs w:val="20"/>
        </w:rPr>
      </w:pPr>
      <w:r w:rsidRPr="00007DD9">
        <w:rPr>
          <w:rFonts w:ascii="Arial" w:hAnsi="Arial" w:cs="Arial"/>
          <w:b/>
          <w:color w:val="FF0000"/>
          <w:sz w:val="20"/>
          <w:szCs w:val="20"/>
        </w:rPr>
        <w:t xml:space="preserve">O item 10.10.9. </w:t>
      </w:r>
      <w:proofErr w:type="gramStart"/>
      <w:r w:rsidRPr="00007DD9">
        <w:rPr>
          <w:rFonts w:ascii="Arial" w:hAnsi="Arial" w:cs="Arial"/>
          <w:b/>
          <w:color w:val="FF0000"/>
          <w:sz w:val="20"/>
          <w:szCs w:val="20"/>
        </w:rPr>
        <w:t>se</w:t>
      </w:r>
      <w:proofErr w:type="gramEnd"/>
      <w:r w:rsidRPr="00007DD9">
        <w:rPr>
          <w:rFonts w:ascii="Arial" w:hAnsi="Arial" w:cs="Arial"/>
          <w:b/>
          <w:color w:val="FF0000"/>
          <w:sz w:val="20"/>
          <w:szCs w:val="20"/>
        </w:rPr>
        <w:t xml:space="preserve"> aplica quando for permitida a subcontratação.</w:t>
      </w:r>
    </w:p>
    <w:p w:rsidR="00007DD9" w:rsidRPr="00007DD9" w:rsidRDefault="00007DD9" w:rsidP="00007DD9">
      <w:pPr>
        <w:numPr>
          <w:ilvl w:val="1"/>
          <w:numId w:val="10"/>
        </w:numPr>
        <w:tabs>
          <w:tab w:val="num" w:pos="0"/>
        </w:tabs>
        <w:spacing w:before="240" w:after="200" w:line="360" w:lineRule="auto"/>
        <w:ind w:left="0" w:firstLine="0"/>
        <w:contextualSpacing/>
        <w:jc w:val="both"/>
        <w:rPr>
          <w:rFonts w:ascii="Arial" w:hAnsi="Arial" w:cs="Arial"/>
          <w:b/>
          <w:sz w:val="20"/>
          <w:szCs w:val="20"/>
        </w:rPr>
      </w:pPr>
      <w:r w:rsidRPr="00007DD9">
        <w:rPr>
          <w:rFonts w:ascii="Arial" w:hAnsi="Arial" w:cs="Arial"/>
          <w:b/>
          <w:sz w:val="20"/>
          <w:szCs w:val="20"/>
        </w:rPr>
        <w:t>Qualificação Econômico-Financeira</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Certidão negativa de feitos sobre falência expedida pelo distribuidor da sede da pessoa jurídica. </w:t>
      </w:r>
    </w:p>
    <w:p w:rsidR="00007DD9" w:rsidRPr="00007DD9" w:rsidRDefault="00007DD9" w:rsidP="00007DD9">
      <w:pPr>
        <w:numPr>
          <w:ilvl w:val="3"/>
          <w:numId w:val="12"/>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A certidão referida no subitem acima que não estiver mencionando explicitamente o prazo de validade, somente será aceita com o prazo máximo de 90 (noventa) dias, contados da data de sua emissão.</w:t>
      </w:r>
    </w:p>
    <w:p w:rsidR="00007DD9" w:rsidRPr="00007DD9" w:rsidRDefault="00007DD9" w:rsidP="00007DD9">
      <w:pPr>
        <w:numPr>
          <w:ilvl w:val="2"/>
          <w:numId w:val="10"/>
        </w:numPr>
        <w:tabs>
          <w:tab w:val="clear" w:pos="3612"/>
          <w:tab w:val="num" w:pos="284"/>
        </w:tabs>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w:t>
      </w:r>
      <w:proofErr w:type="gramStart"/>
      <w:r w:rsidRPr="00007DD9">
        <w:rPr>
          <w:rFonts w:ascii="Arial" w:hAnsi="Arial" w:cs="Arial"/>
          <w:sz w:val="20"/>
          <w:szCs w:val="20"/>
        </w:rPr>
        <w:t>3</w:t>
      </w:r>
      <w:proofErr w:type="gramEnd"/>
      <w:r w:rsidRPr="00007DD9">
        <w:rPr>
          <w:rFonts w:ascii="Arial" w:hAnsi="Arial" w:cs="Arial"/>
          <w:sz w:val="20"/>
          <w:szCs w:val="20"/>
        </w:rPr>
        <w:t xml:space="preserve"> (três) meses da data de apresentação da proposta.</w:t>
      </w: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No caso de fornecimento de bens para pronta entrega, não será exigido da licitante qualificada como microempresa ou empresa de pequeno porte, a apresentação de balanço patrimonial do último exercício financeiro (Art. 3º do Decreto nº 8.538, de 2015).</w:t>
      </w: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lastRenderedPageBreak/>
        <w:t>No caso de empresa constituída no exercício social vigente, admite-se a apresentação de balanço patrimonial e demonstrações contábeis referentes ao período de existência da sociedade.</w:t>
      </w: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É admissível o balanço intermediário, se decorrer de lei ou contrato social/estatuto social.</w:t>
      </w: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 xml:space="preserve">Caso o licitante seja </w:t>
      </w:r>
      <w:proofErr w:type="gramStart"/>
      <w:r w:rsidRPr="00007DD9">
        <w:rPr>
          <w:rFonts w:ascii="Arial" w:hAnsi="Arial" w:cs="Arial"/>
          <w:sz w:val="20"/>
          <w:szCs w:val="20"/>
        </w:rPr>
        <w:t>cooperativa</w:t>
      </w:r>
      <w:proofErr w:type="gramEnd"/>
      <w:r w:rsidRPr="00007DD9">
        <w:rPr>
          <w:rFonts w:ascii="Arial" w:hAnsi="Arial" w:cs="Arial"/>
          <w:sz w:val="20"/>
          <w:szCs w:val="20"/>
        </w:rPr>
        <w:t>, tais documentos deverão ser acompanhados da última auditoria contábil-financeira, conforme dispõe o artigo 112 da Lei nº 5.764, de 1971, ou de uma declaração, sob as penas da lei, de que tal auditoria não foi exigida pelo órgão fiscalizador.</w:t>
      </w: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 xml:space="preserve">A boa situação financeira da licitante será avaliada pelos Índices de Liquidez Geral (LG), Solvência Geral (SG) e Liquidez Corrente (LC), maiores que </w:t>
      </w:r>
      <w:proofErr w:type="gramStart"/>
      <w:r w:rsidRPr="00007DD9">
        <w:rPr>
          <w:rFonts w:ascii="Arial" w:hAnsi="Arial" w:cs="Arial"/>
          <w:sz w:val="20"/>
          <w:szCs w:val="20"/>
        </w:rPr>
        <w:t>1</w:t>
      </w:r>
      <w:proofErr w:type="gramEnd"/>
      <w:r w:rsidRPr="00007DD9">
        <w:rPr>
          <w:rFonts w:ascii="Arial" w:hAnsi="Arial" w:cs="Arial"/>
          <w:sz w:val="20"/>
          <w:szCs w:val="20"/>
        </w:rPr>
        <w:t xml:space="preserve"> (um), resultantes da aplicação das fórmulas abaixo, com os valores extraídos de seu balanço patrimonial ou apurados mediante consulta “</w:t>
      </w:r>
      <w:proofErr w:type="spellStart"/>
      <w:r w:rsidRPr="00007DD9">
        <w:rPr>
          <w:rFonts w:ascii="Arial" w:hAnsi="Arial" w:cs="Arial"/>
          <w:i/>
          <w:sz w:val="20"/>
          <w:szCs w:val="20"/>
        </w:rPr>
        <w:t>on</w:t>
      </w:r>
      <w:proofErr w:type="spellEnd"/>
      <w:r w:rsidRPr="00007DD9">
        <w:rPr>
          <w:rFonts w:ascii="Arial" w:hAnsi="Arial" w:cs="Arial"/>
          <w:i/>
          <w:sz w:val="20"/>
          <w:szCs w:val="20"/>
        </w:rPr>
        <w:t xml:space="preserve"> </w:t>
      </w:r>
      <w:proofErr w:type="spellStart"/>
      <w:r w:rsidRPr="00007DD9">
        <w:rPr>
          <w:rFonts w:ascii="Arial" w:hAnsi="Arial" w:cs="Arial"/>
          <w:i/>
          <w:sz w:val="20"/>
          <w:szCs w:val="20"/>
        </w:rPr>
        <w:t>line</w:t>
      </w:r>
      <w:proofErr w:type="spellEnd"/>
      <w:r w:rsidRPr="00007DD9">
        <w:rPr>
          <w:rFonts w:ascii="Arial" w:hAnsi="Arial" w:cs="Arial"/>
          <w:sz w:val="20"/>
          <w:szCs w:val="20"/>
        </w:rPr>
        <w:t>” no caso de empresas inscritas no SICAF:</w:t>
      </w:r>
    </w:p>
    <w:p w:rsidR="00007DD9" w:rsidRPr="00007DD9" w:rsidRDefault="00007DD9" w:rsidP="00007DD9">
      <w:pPr>
        <w:spacing w:before="240" w:line="360" w:lineRule="auto"/>
        <w:ind w:left="567"/>
        <w:contextualSpacing/>
        <w:jc w:val="both"/>
        <w:rPr>
          <w:rFonts w:ascii="Arial" w:hAnsi="Arial" w:cs="Arial"/>
          <w:sz w:val="20"/>
          <w:szCs w:val="20"/>
        </w:rPr>
      </w:pPr>
    </w:p>
    <w:p w:rsidR="00007DD9" w:rsidRPr="00007DD9" w:rsidRDefault="00007DD9" w:rsidP="00007DD9">
      <w:pPr>
        <w:spacing w:before="240" w:line="360" w:lineRule="auto"/>
        <w:ind w:left="567"/>
        <w:contextualSpacing/>
        <w:jc w:val="center"/>
        <w:rPr>
          <w:rFonts w:ascii="Arial" w:hAnsi="Arial" w:cs="Arial"/>
          <w:sz w:val="20"/>
          <w:szCs w:val="20"/>
          <w:lang w:val="en-US"/>
        </w:rPr>
      </w:pPr>
      <w:r w:rsidRPr="00007DD9">
        <w:rPr>
          <w:rFonts w:ascii="Arial" w:hAnsi="Arial" w:cs="Arial"/>
          <w:b/>
          <w:sz w:val="20"/>
          <w:szCs w:val="20"/>
          <w:lang w:val="en-US"/>
        </w:rPr>
        <w:t xml:space="preserve">LG = </w:t>
      </w:r>
      <m:oMath>
        <m:f>
          <m:fPr>
            <m:ctrlPr>
              <w:rPr>
                <w:rFonts w:ascii="Cambria Math" w:hAnsi="Cambria Math" w:cs="Calibri"/>
                <w:sz w:val="20"/>
                <w:szCs w:val="20"/>
              </w:rPr>
            </m:ctrlPr>
          </m:fPr>
          <m:num>
            <m:r>
              <m:rPr>
                <m:sty m:val="bi"/>
              </m:rPr>
              <w:rPr>
                <w:rFonts w:ascii="Cambria Math" w:hAnsi="Cambria Math" w:cs="Calibri"/>
                <w:sz w:val="20"/>
                <w:szCs w:val="20"/>
              </w:rPr>
              <m:t>Ativo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Circulante</m:t>
            </m:r>
            <m:r>
              <m:rPr>
                <m:sty m:val="bi"/>
              </m:rPr>
              <w:rPr>
                <w:rFonts w:ascii="Cambria Math" w:hAnsi="Cambria Math" w:cs="Calibri"/>
                <w:sz w:val="20"/>
                <w:szCs w:val="20"/>
                <w:lang w:val="en-US"/>
              </w:rPr>
              <m:t>+</m:t>
            </m:r>
            <m:r>
              <m:rPr>
                <m:sty m:val="bi"/>
              </m:rPr>
              <w:rPr>
                <w:rFonts w:ascii="Cambria Math" w:hAnsi="Cambria Math" w:cs="Calibri"/>
                <w:sz w:val="20"/>
                <w:szCs w:val="20"/>
              </w:rPr>
              <m:t>Realiz</m:t>
            </m:r>
            <m:r>
              <m:rPr>
                <m:sty m:val="bi"/>
              </m:rPr>
              <w:rPr>
                <w:rFonts w:ascii="Cambria Math" w:hAnsi="Cambria Math" w:cs="Calibri"/>
                <w:sz w:val="20"/>
                <w:szCs w:val="20"/>
                <w:lang w:val="en-US"/>
              </w:rPr>
              <m:t>á</m:t>
            </m:r>
            <m:r>
              <m:rPr>
                <m:sty m:val="bi"/>
              </m:rPr>
              <w:rPr>
                <w:rFonts w:ascii="Cambria Math" w:hAnsi="Cambria Math" w:cs="Calibri"/>
                <w:sz w:val="20"/>
                <w:szCs w:val="20"/>
              </w:rPr>
              <m:t>vel</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a</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Longo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Prazo</m:t>
            </m:r>
          </m:num>
          <m:den>
            <m:r>
              <m:rPr>
                <m:sty m:val="bi"/>
              </m:rPr>
              <w:rPr>
                <w:rFonts w:ascii="Cambria Math" w:hAnsi="Cambria Math" w:cs="Calibri"/>
                <w:sz w:val="20"/>
                <w:szCs w:val="20"/>
              </w:rPr>
              <m:t>Passivo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Circulante</m:t>
            </m:r>
            <m:r>
              <m:rPr>
                <m:sty m:val="bi"/>
              </m:rPr>
              <w:rPr>
                <w:rFonts w:ascii="Cambria Math" w:hAnsi="Cambria Math" w:cs="Calibri"/>
                <w:sz w:val="20"/>
                <w:szCs w:val="20"/>
                <w:lang w:val="en-US"/>
              </w:rPr>
              <m:t>+</m:t>
            </m:r>
            <m:r>
              <m:rPr>
                <m:sty m:val="bi"/>
              </m:rPr>
              <w:rPr>
                <w:rFonts w:ascii="Cambria Math" w:hAnsi="Cambria Math" w:cs="Calibri"/>
                <w:sz w:val="20"/>
                <w:szCs w:val="20"/>
              </w:rPr>
              <m:t>Passivo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n</m:t>
            </m:r>
            <m:r>
              <m:rPr>
                <m:sty m:val="bi"/>
              </m:rPr>
              <w:rPr>
                <w:rFonts w:ascii="Cambria Math" w:hAnsi="Cambria Math" w:cs="Calibri"/>
                <w:sz w:val="20"/>
                <w:szCs w:val="20"/>
                <w:lang w:val="en-US"/>
              </w:rPr>
              <m:t>ã</m:t>
            </m:r>
            <m:r>
              <m:rPr>
                <m:sty m:val="bi"/>
              </m:rPr>
              <w:rPr>
                <w:rFonts w:ascii="Cambria Math" w:hAnsi="Cambria Math" w:cs="Calibri"/>
                <w:sz w:val="20"/>
                <w:szCs w:val="20"/>
              </w:rPr>
              <m:t>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Circulante</m:t>
            </m:r>
          </m:den>
        </m:f>
      </m:oMath>
    </w:p>
    <w:p w:rsidR="00007DD9" w:rsidRPr="00007DD9" w:rsidRDefault="00007DD9" w:rsidP="00007DD9">
      <w:pPr>
        <w:spacing w:before="240" w:line="360" w:lineRule="auto"/>
        <w:ind w:left="567"/>
        <w:contextualSpacing/>
        <w:jc w:val="center"/>
        <w:rPr>
          <w:rFonts w:ascii="Arial" w:hAnsi="Arial" w:cs="Arial"/>
          <w:sz w:val="20"/>
          <w:szCs w:val="20"/>
          <w:lang w:val="en-US"/>
        </w:rPr>
      </w:pPr>
    </w:p>
    <w:p w:rsidR="00007DD9" w:rsidRPr="00007DD9" w:rsidRDefault="00007DD9" w:rsidP="00007DD9">
      <w:pPr>
        <w:spacing w:before="240" w:line="360" w:lineRule="auto"/>
        <w:ind w:left="567"/>
        <w:contextualSpacing/>
        <w:jc w:val="center"/>
        <w:rPr>
          <w:rFonts w:ascii="Arial" w:hAnsi="Arial" w:cs="Arial"/>
          <w:sz w:val="20"/>
          <w:szCs w:val="20"/>
        </w:rPr>
      </w:pPr>
      <w:r w:rsidRPr="00007DD9">
        <w:rPr>
          <w:rFonts w:ascii="Arial" w:hAnsi="Arial" w:cs="Arial"/>
          <w:b/>
          <w:sz w:val="20"/>
          <w:szCs w:val="20"/>
        </w:rPr>
        <w:t xml:space="preserve">SG = </w:t>
      </w:r>
      <m:oMath>
        <m:f>
          <m:fPr>
            <m:ctrlPr>
              <w:rPr>
                <w:rFonts w:ascii="Cambria Math" w:hAnsi="Cambria Math" w:cs="Calibri"/>
                <w:sz w:val="20"/>
                <w:szCs w:val="20"/>
              </w:rPr>
            </m:ctrlPr>
          </m:fPr>
          <m:num>
            <m:r>
              <m:rPr>
                <m:sty m:val="bi"/>
              </m:rPr>
              <w:rPr>
                <w:rFonts w:ascii="Cambria Math" w:hAnsi="Cambria Math" w:cs="Calibri"/>
                <w:sz w:val="20"/>
                <w:szCs w:val="20"/>
              </w:rPr>
              <m:t>Ativo Total</m:t>
            </m:r>
          </m:num>
          <m:den>
            <m:r>
              <m:rPr>
                <m:sty m:val="bi"/>
              </m:rPr>
              <w:rPr>
                <w:rFonts w:ascii="Cambria Math" w:hAnsi="Cambria Math" w:cs="Calibri"/>
                <w:sz w:val="20"/>
                <w:szCs w:val="20"/>
              </w:rPr>
              <m:t>Passivo Circulante+Passivo não Circulante</m:t>
            </m:r>
          </m:den>
        </m:f>
      </m:oMath>
    </w:p>
    <w:p w:rsidR="00007DD9" w:rsidRPr="00007DD9" w:rsidRDefault="00007DD9" w:rsidP="00007DD9">
      <w:pPr>
        <w:spacing w:before="240" w:line="360" w:lineRule="auto"/>
        <w:ind w:left="567"/>
        <w:contextualSpacing/>
        <w:jc w:val="center"/>
        <w:rPr>
          <w:rFonts w:ascii="Arial" w:hAnsi="Arial" w:cs="Arial"/>
          <w:sz w:val="20"/>
          <w:szCs w:val="20"/>
        </w:rPr>
      </w:pPr>
    </w:p>
    <w:p w:rsidR="00007DD9" w:rsidRPr="00007DD9" w:rsidRDefault="00007DD9" w:rsidP="00007DD9">
      <w:pPr>
        <w:spacing w:before="240" w:line="360" w:lineRule="auto"/>
        <w:ind w:left="567"/>
        <w:contextualSpacing/>
        <w:jc w:val="center"/>
        <w:rPr>
          <w:rFonts w:ascii="Arial" w:hAnsi="Arial" w:cs="Arial"/>
          <w:sz w:val="20"/>
          <w:szCs w:val="20"/>
          <w:lang w:val="en-US"/>
        </w:rPr>
      </w:pPr>
      <w:r w:rsidRPr="00007DD9">
        <w:rPr>
          <w:rFonts w:ascii="Arial" w:hAnsi="Arial" w:cs="Arial"/>
          <w:b/>
          <w:sz w:val="20"/>
          <w:szCs w:val="20"/>
          <w:lang w:val="en-US"/>
        </w:rPr>
        <w:t xml:space="preserve">LC = </w:t>
      </w:r>
      <m:oMath>
        <m:f>
          <m:fPr>
            <m:ctrlPr>
              <w:rPr>
                <w:rFonts w:ascii="Cambria Math" w:hAnsi="Cambria Math" w:cs="Calibri"/>
                <w:sz w:val="20"/>
                <w:szCs w:val="20"/>
              </w:rPr>
            </m:ctrlPr>
          </m:fPr>
          <m:num>
            <m:r>
              <m:rPr>
                <m:sty m:val="bi"/>
              </m:rPr>
              <w:rPr>
                <w:rFonts w:ascii="Cambria Math" w:hAnsi="Cambria Math" w:cs="Calibri"/>
                <w:sz w:val="20"/>
                <w:szCs w:val="20"/>
              </w:rPr>
              <m:t>Ativo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Circulante</m:t>
            </m:r>
          </m:num>
          <m:den>
            <m:r>
              <m:rPr>
                <m:sty m:val="bi"/>
              </m:rPr>
              <w:rPr>
                <w:rFonts w:ascii="Cambria Math" w:hAnsi="Cambria Math" w:cs="Calibri"/>
                <w:sz w:val="20"/>
                <w:szCs w:val="20"/>
              </w:rPr>
              <m:t>Passivo</m:t>
            </m:r>
            <m:r>
              <m:rPr>
                <m:sty m:val="bi"/>
              </m:rPr>
              <w:rPr>
                <w:rFonts w:ascii="Cambria Math" w:hAnsi="Cambria Math" w:cs="Calibri"/>
                <w:sz w:val="20"/>
                <w:szCs w:val="20"/>
                <w:lang w:val="en-US"/>
              </w:rPr>
              <m:t xml:space="preserve"> </m:t>
            </m:r>
            <m:r>
              <m:rPr>
                <m:sty m:val="bi"/>
              </m:rPr>
              <w:rPr>
                <w:rFonts w:ascii="Cambria Math" w:hAnsi="Cambria Math" w:cs="Calibri"/>
                <w:sz w:val="20"/>
                <w:szCs w:val="20"/>
              </w:rPr>
              <m:t>Circulante</m:t>
            </m:r>
          </m:den>
        </m:f>
      </m:oMath>
    </w:p>
    <w:p w:rsidR="00007DD9" w:rsidRPr="00007DD9" w:rsidRDefault="00007DD9" w:rsidP="00007DD9">
      <w:pPr>
        <w:spacing w:before="240" w:line="360" w:lineRule="auto"/>
        <w:ind w:left="567"/>
        <w:contextualSpacing/>
        <w:jc w:val="center"/>
        <w:rPr>
          <w:rFonts w:ascii="Arial" w:hAnsi="Arial" w:cs="Arial"/>
          <w:b/>
          <w:sz w:val="20"/>
          <w:szCs w:val="20"/>
          <w:lang w:val="en-US"/>
        </w:rPr>
      </w:pPr>
    </w:p>
    <w:p w:rsidR="00007DD9" w:rsidRPr="00007DD9" w:rsidRDefault="00007DD9" w:rsidP="00007DD9">
      <w:pPr>
        <w:numPr>
          <w:ilvl w:val="3"/>
          <w:numId w:val="13"/>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 xml:space="preserve">A licitante que apresentar índices econômicos iguais ou inferiores a </w:t>
      </w:r>
      <w:proofErr w:type="gramStart"/>
      <w:r w:rsidRPr="00007DD9">
        <w:rPr>
          <w:rFonts w:ascii="Arial" w:hAnsi="Arial" w:cs="Arial"/>
          <w:sz w:val="20"/>
          <w:szCs w:val="20"/>
        </w:rPr>
        <w:t>1</w:t>
      </w:r>
      <w:proofErr w:type="gramEnd"/>
      <w:r w:rsidRPr="00007DD9">
        <w:rPr>
          <w:rFonts w:ascii="Arial" w:hAnsi="Arial" w:cs="Arial"/>
          <w:sz w:val="20"/>
          <w:szCs w:val="20"/>
        </w:rPr>
        <w:t xml:space="preserve"> (um) em qualquer dos índices de Liquidez Geral, Solvência Geral e Liquidez Corrente, deverá comprovar que possui patrimônio líquido de no mínimo 5% (cinco por cento) do valor total estimado da contratação por meio de Balanço Patrimonial e Demonstrações Contábeis do último exercício, já exigíveis e apresentados na forma da lei, vedada a sua substituição por balancetes ou balanços provisórios.</w:t>
      </w:r>
    </w:p>
    <w:p w:rsidR="00007DD9" w:rsidRPr="00007DD9" w:rsidRDefault="00007DD9" w:rsidP="00007DD9">
      <w:pPr>
        <w:spacing w:before="240" w:line="360" w:lineRule="auto"/>
        <w:ind w:left="567"/>
        <w:contextualSpacing/>
        <w:jc w:val="both"/>
        <w:rPr>
          <w:rFonts w:ascii="Arial" w:hAnsi="Arial" w:cs="Arial"/>
          <w:sz w:val="20"/>
          <w:szCs w:val="20"/>
        </w:rPr>
      </w:pPr>
    </w:p>
    <w:p w:rsidR="00007DD9" w:rsidRPr="00007DD9" w:rsidRDefault="00007DD9" w:rsidP="00007DD9">
      <w:pPr>
        <w:numPr>
          <w:ilvl w:val="1"/>
          <w:numId w:val="13"/>
        </w:numPr>
        <w:spacing w:before="240" w:after="200" w:line="360" w:lineRule="auto"/>
        <w:ind w:left="0" w:firstLine="0"/>
        <w:contextualSpacing/>
        <w:jc w:val="both"/>
        <w:rPr>
          <w:rFonts w:ascii="Arial" w:hAnsi="Arial" w:cs="Arial"/>
          <w:b/>
          <w:sz w:val="20"/>
          <w:szCs w:val="20"/>
        </w:rPr>
      </w:pPr>
      <w:r w:rsidRPr="00007DD9">
        <w:rPr>
          <w:rFonts w:ascii="Arial" w:hAnsi="Arial" w:cs="Arial"/>
          <w:b/>
          <w:sz w:val="20"/>
          <w:szCs w:val="20"/>
        </w:rPr>
        <w:t>Relativo à Qualificação Técnica</w:t>
      </w:r>
    </w:p>
    <w:p w:rsidR="00007DD9" w:rsidRPr="00007DD9" w:rsidRDefault="00007DD9" w:rsidP="00007DD9">
      <w:pPr>
        <w:numPr>
          <w:ilvl w:val="2"/>
          <w:numId w:val="14"/>
        </w:numPr>
        <w:tabs>
          <w:tab w:val="left" w:pos="0"/>
        </w:tabs>
        <w:spacing w:after="200" w:line="360" w:lineRule="auto"/>
        <w:ind w:left="284" w:firstLine="0"/>
        <w:contextualSpacing/>
        <w:jc w:val="both"/>
        <w:rPr>
          <w:rFonts w:ascii="Arial" w:hAnsi="Arial" w:cs="Arial"/>
          <w:sz w:val="20"/>
          <w:szCs w:val="20"/>
        </w:rPr>
      </w:pPr>
    </w:p>
    <w:p w:rsidR="00007DD9" w:rsidRPr="00007DD9" w:rsidRDefault="00007DD9" w:rsidP="00007DD9">
      <w:pPr>
        <w:spacing w:before="240" w:line="360" w:lineRule="auto"/>
        <w:ind w:left="567"/>
        <w:contextualSpacing/>
        <w:jc w:val="both"/>
        <w:rPr>
          <w:rFonts w:ascii="Arial" w:hAnsi="Arial" w:cs="Arial"/>
          <w:sz w:val="20"/>
          <w:szCs w:val="20"/>
        </w:rPr>
      </w:pP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licitante enquadrado como microempreendedor individual que pretenda auferir os benefícios do tratamento diferenciado previstos na Lei Complementar nº 123, de 2006, estará dispensado (a) da prova de inscrição nos cadastros de contribuintes estadual e municipal e (b) da apresentação do balanço patrimonial e das demonstrações contábeis do último exercício.</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rsidR="00007DD9" w:rsidRPr="00007DD9" w:rsidRDefault="00007DD9" w:rsidP="00007DD9">
      <w:pPr>
        <w:numPr>
          <w:ilvl w:val="2"/>
          <w:numId w:val="14"/>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A declaração do vencedor acontecerá no momento imediatamente posterior à fase de habilitação.</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Caso a 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sidRPr="00007DD9">
        <w:rPr>
          <w:rFonts w:ascii="Arial" w:hAnsi="Arial" w:cs="Arial"/>
          <w:sz w:val="20"/>
          <w:szCs w:val="20"/>
        </w:rPr>
        <w:t>5</w:t>
      </w:r>
      <w:proofErr w:type="gramEnd"/>
      <w:r w:rsidRPr="00007DD9">
        <w:rPr>
          <w:rFonts w:ascii="Arial" w:hAnsi="Arial" w:cs="Arial"/>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 </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 </w:t>
      </w:r>
      <w:proofErr w:type="gramStart"/>
      <w:r w:rsidRPr="00007DD9">
        <w:rPr>
          <w:rFonts w:ascii="Arial" w:hAnsi="Arial" w:cs="Arial"/>
          <w:sz w:val="20"/>
          <w:szCs w:val="20"/>
        </w:rPr>
        <w:t>não-regularização</w:t>
      </w:r>
      <w:proofErr w:type="gramEnd"/>
      <w:r w:rsidRPr="00007DD9">
        <w:rPr>
          <w:rFonts w:ascii="Arial" w:hAnsi="Arial" w:cs="Arial"/>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Havendo necessidade de analisar minuciosamente os documentos exigidos, o Pregoeiro suspenderá a sessão, informando no “chat” a nova data e horário para a continuidade da mesma.</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Será inabilitado o licitante que não comprovar sua habilitação, sejam por não apresentar quaisquer dos documentos exigidos, ou apresenta-los em desacordo com o estabelecido neste Edital.</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Nos itens não exclusivos a microempresas e empresas de pequeno porte, em havendo inabilitação, haverá nova verificação, pelo sistema, de eventual ocorrência do empate ficto, previsto nos artigos 44 e 45 da LC nº 123, de 2006, seguindo-se a disciplina antes estabelecida para aceitação da proposta subsequente.</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inabilitação, além da aplicação das sanções cabíveis.</w:t>
      </w:r>
    </w:p>
    <w:p w:rsidR="00007DD9" w:rsidRPr="00007DD9" w:rsidRDefault="00007DD9" w:rsidP="00007DD9">
      <w:pPr>
        <w:numPr>
          <w:ilvl w:val="2"/>
          <w:numId w:val="14"/>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Não havendo a comprovação cumulativa dos requisitos de habilitação, a inabilitação recairá sobre o(s) </w:t>
      </w:r>
      <w:proofErr w:type="gramStart"/>
      <w:r w:rsidRPr="00007DD9">
        <w:rPr>
          <w:rFonts w:ascii="Arial" w:hAnsi="Arial" w:cs="Arial"/>
          <w:sz w:val="20"/>
          <w:szCs w:val="20"/>
        </w:rPr>
        <w:t>item(</w:t>
      </w:r>
      <w:proofErr w:type="spellStart"/>
      <w:proofErr w:type="gramEnd"/>
      <w:r w:rsidRPr="00007DD9">
        <w:rPr>
          <w:rFonts w:ascii="Arial" w:hAnsi="Arial" w:cs="Arial"/>
          <w:sz w:val="20"/>
          <w:szCs w:val="20"/>
        </w:rPr>
        <w:t>ns</w:t>
      </w:r>
      <w:proofErr w:type="spellEnd"/>
      <w:r w:rsidRPr="00007DD9">
        <w:rPr>
          <w:rFonts w:ascii="Arial" w:hAnsi="Arial" w:cs="Arial"/>
          <w:sz w:val="20"/>
          <w:szCs w:val="20"/>
        </w:rPr>
        <w:t xml:space="preserve">) de menor(es) valor(es) cuja retirada(s) seja(m) suficiente(s) para a habilitação do licitante nos remanescentes. </w:t>
      </w:r>
    </w:p>
    <w:p w:rsidR="00007DD9" w:rsidRPr="00007DD9" w:rsidRDefault="00007DD9" w:rsidP="00007DD9">
      <w:pPr>
        <w:spacing w:before="240" w:after="200" w:line="360" w:lineRule="auto"/>
        <w:ind w:left="284"/>
        <w:contextualSpacing/>
        <w:jc w:val="both"/>
        <w:rPr>
          <w:rFonts w:ascii="Arial" w:hAnsi="Arial" w:cs="Arial"/>
          <w:color w:val="FF0000"/>
          <w:sz w:val="20"/>
          <w:szCs w:val="20"/>
        </w:rPr>
      </w:pPr>
      <w:r w:rsidRPr="00007DD9">
        <w:rPr>
          <w:rFonts w:ascii="Arial" w:hAnsi="Arial" w:cs="Arial"/>
          <w:color w:val="FF0000"/>
          <w:sz w:val="20"/>
          <w:szCs w:val="20"/>
        </w:rPr>
        <w:t>O item 10.19 se aplica nos casos em que a licitação for por item.</w:t>
      </w:r>
    </w:p>
    <w:p w:rsidR="00007DD9" w:rsidRPr="00007DD9" w:rsidRDefault="00007DD9" w:rsidP="00007DD9">
      <w:pPr>
        <w:numPr>
          <w:ilvl w:val="1"/>
          <w:numId w:val="14"/>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Constatado o atendimento às exigências de habilitação fixadas no Edital, o licitante será declarado vencedor.</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4"/>
              </w:numPr>
              <w:spacing w:after="200" w:line="276" w:lineRule="auto"/>
              <w:ind w:left="22" w:hanging="22"/>
              <w:contextualSpacing/>
              <w:rPr>
                <w:rFonts w:ascii="Arial" w:hAnsi="Arial" w:cs="Arial"/>
                <w:sz w:val="20"/>
                <w:szCs w:val="20"/>
              </w:rPr>
            </w:pPr>
            <w:r w:rsidRPr="00007DD9">
              <w:rPr>
                <w:rFonts w:ascii="Arial" w:hAnsi="Arial" w:cs="Arial"/>
                <w:sz w:val="20"/>
                <w:szCs w:val="20"/>
              </w:rPr>
              <w:t>DO ENCAMINHAMENTO DA PROPOSTA VENCEDORA</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 proposta final do licitante declarado vencedor deverá ser encaminhada no prazo </w:t>
      </w:r>
      <w:proofErr w:type="gramStart"/>
      <w:r w:rsidRPr="00007DD9">
        <w:rPr>
          <w:rFonts w:ascii="Arial" w:hAnsi="Arial" w:cs="Arial"/>
          <w:sz w:val="20"/>
          <w:szCs w:val="20"/>
        </w:rPr>
        <w:t>de ...</w:t>
      </w:r>
      <w:proofErr w:type="gramEnd"/>
      <w:r w:rsidRPr="00007DD9">
        <w:rPr>
          <w:rFonts w:ascii="Arial" w:hAnsi="Arial" w:cs="Arial"/>
          <w:sz w:val="20"/>
          <w:szCs w:val="20"/>
        </w:rPr>
        <w:t>.....(.........) horas, a contar da solicitação do Pregoeiro no sistema eletrônico e deverá:</w:t>
      </w:r>
    </w:p>
    <w:p w:rsidR="00007DD9" w:rsidRPr="00007DD9" w:rsidRDefault="00007DD9" w:rsidP="00007DD9">
      <w:pPr>
        <w:spacing w:before="240" w:after="200" w:line="360" w:lineRule="auto"/>
        <w:contextualSpacing/>
        <w:jc w:val="both"/>
        <w:rPr>
          <w:rFonts w:ascii="Arial" w:hAnsi="Arial" w:cs="Arial"/>
          <w:color w:val="FF0000"/>
          <w:sz w:val="20"/>
          <w:szCs w:val="20"/>
        </w:rPr>
      </w:pPr>
      <w:r w:rsidRPr="00007DD9">
        <w:rPr>
          <w:rFonts w:ascii="Arial" w:hAnsi="Arial" w:cs="Arial"/>
          <w:color w:val="FF0000"/>
          <w:sz w:val="20"/>
          <w:szCs w:val="20"/>
        </w:rPr>
        <w:t>O prazo mínimo ideal será de 2 horas.</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Ser redigida em língua portuguesa, datilografada ou digitada, em uma via, sem emendas, rasuras, entrelinhas ou ressalvas, devendo a última folha ser assinada e as demais rubricadas pelo licitante ou seu representante legal.</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Conter a indicação do banco, número da conta e agencia do licitante vencedor, para fins de pagamento.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Todas as especificações do objeto contidas na proposta, tais como marca, modelo, tipo, fabricante e procedência, vinculam a Contratada.</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Os preços deverão ser expressos em moeda corrente nacional, o valor unitário em algarismos e o valor global em algarismos e por extenso (art. 5º da Lei nº 8.666/93).</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 oferta deverá ser firme e precisa, limitada, rigorosamente, ao objeto deste Edital, sem conter alternativas de preço ou de qualquer outra condição que induza o julgamento a mais de um resultado, </w:t>
      </w:r>
      <w:proofErr w:type="gramStart"/>
      <w:r w:rsidRPr="00007DD9">
        <w:rPr>
          <w:rFonts w:ascii="Arial" w:hAnsi="Arial" w:cs="Arial"/>
          <w:sz w:val="20"/>
          <w:szCs w:val="20"/>
        </w:rPr>
        <w:t>sob pena</w:t>
      </w:r>
      <w:proofErr w:type="gramEnd"/>
      <w:r w:rsidRPr="00007DD9">
        <w:rPr>
          <w:rFonts w:ascii="Arial" w:hAnsi="Arial" w:cs="Arial"/>
          <w:sz w:val="20"/>
          <w:szCs w:val="20"/>
        </w:rPr>
        <w:t xml:space="preserve"> de desclassificação.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 proposta deverá obedecer aos termos deste Edital e </w:t>
      </w:r>
      <w:proofErr w:type="gramStart"/>
      <w:r w:rsidRPr="00007DD9">
        <w:rPr>
          <w:rFonts w:ascii="Arial" w:hAnsi="Arial" w:cs="Arial"/>
          <w:sz w:val="20"/>
          <w:szCs w:val="20"/>
        </w:rPr>
        <w:t>seus Anexos, não sendo considerada aquela que não corresponda às especificações ali contidas ou que estabeleça vinculo</w:t>
      </w:r>
      <w:proofErr w:type="gramEnd"/>
      <w:r w:rsidRPr="00007DD9">
        <w:rPr>
          <w:rFonts w:ascii="Arial" w:hAnsi="Arial" w:cs="Arial"/>
          <w:sz w:val="20"/>
          <w:szCs w:val="20"/>
        </w:rPr>
        <w:t xml:space="preserve"> à proposta de outro licitante.</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propostas que contenham a descrição do objeto, o valor e os documentos complementares estarão disponíveis na internet, após a homologação.</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 MANUTENÇÃO DAS CONDIÇÕES DE HABILITAÇÃO</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Na assinatura do Contrato </w:t>
      </w:r>
      <w:proofErr w:type="gramStart"/>
      <w:r w:rsidRPr="00007DD9">
        <w:rPr>
          <w:rFonts w:ascii="Arial" w:hAnsi="Arial" w:cs="Arial"/>
          <w:sz w:val="20"/>
          <w:szCs w:val="20"/>
        </w:rPr>
        <w:t>serão</w:t>
      </w:r>
      <w:proofErr w:type="gramEnd"/>
      <w:r w:rsidRPr="00007DD9">
        <w:rPr>
          <w:rFonts w:ascii="Arial" w:hAnsi="Arial" w:cs="Arial"/>
          <w:sz w:val="20"/>
          <w:szCs w:val="20"/>
        </w:rPr>
        <w:t xml:space="preserve"> exigidas a comprovação das condições de habilitação consignadas neste Edital, as quais deverão ser mantidas pela licitante durante a vigência do Contrato, salvo quanto à manutenção do porte da empresa (Lei Complementar nº 123/2006). </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Quando a vencedora da licitação não fizer a comprovação referida no subitem anterior ou quando, injustificadamente, recusar-se a assinar o Contrato, sem prejuízo das multas previstas neste Edital e no Contrato e das demais cominações legais, poderá ser convocada outra licitante, desde que respeitada </w:t>
      </w:r>
      <w:proofErr w:type="gramStart"/>
      <w:r w:rsidRPr="00007DD9">
        <w:rPr>
          <w:rFonts w:ascii="Arial" w:hAnsi="Arial" w:cs="Arial"/>
          <w:sz w:val="20"/>
          <w:szCs w:val="20"/>
        </w:rPr>
        <w:t>a</w:t>
      </w:r>
      <w:proofErr w:type="gramEnd"/>
      <w:r w:rsidRPr="00007DD9">
        <w:rPr>
          <w:rFonts w:ascii="Arial" w:hAnsi="Arial" w:cs="Arial"/>
          <w:sz w:val="20"/>
          <w:szCs w:val="20"/>
        </w:rPr>
        <w:t xml:space="preserve"> ordem de classificação, para, após comprovados os requisitos de habilitação e feita a negociação, assinar o Contrato.</w:t>
      </w:r>
    </w:p>
    <w:p w:rsidR="00007DD9" w:rsidRPr="00007DD9" w:rsidRDefault="00007DD9" w:rsidP="00007DD9">
      <w:pPr>
        <w:spacing w:before="240" w:line="360" w:lineRule="auto"/>
        <w:ind w:left="284"/>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 IMPUGNAÇÃO DO INSTRUMENTO CONVOCATÓRIO</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Até três dias úteis antes da data fixada para abertura da sessão pública, qualquer pessoa poderá impugnar o ato convocatório do Pregão, na forma eletrônica.</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Caberá ao Pregoeiro, auxiliado pelos responsáveis pela elaboração deste Edital e seus anexos e pela área requisitante, se for o caso, decidir sobre a impugnação no prazo de até dois dias úteis contados da data de recebimento da impugnação.</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Acolhida a impugnação contra o ato convocatório, será designada nova data para a realização do certame.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lastRenderedPageBreak/>
        <w:t xml:space="preserve">A impugnação poderá ser realizada na forma eletrônica pelo </w:t>
      </w:r>
      <w:r w:rsidRPr="00007DD9">
        <w:rPr>
          <w:rFonts w:ascii="Arial" w:hAnsi="Arial" w:cs="Arial"/>
          <w:i/>
          <w:sz w:val="20"/>
          <w:szCs w:val="20"/>
        </w:rPr>
        <w:t>e-mail</w:t>
      </w:r>
      <w:r w:rsidRPr="00007DD9">
        <w:rPr>
          <w:rFonts w:ascii="Arial" w:hAnsi="Arial" w:cs="Arial"/>
          <w:sz w:val="20"/>
          <w:szCs w:val="20"/>
        </w:rPr>
        <w:t xml:space="preserve"> </w:t>
      </w:r>
      <w:hyperlink r:id="rId12" w:history="1">
        <w:r w:rsidRPr="00007DD9">
          <w:rPr>
            <w:rFonts w:ascii="Arial" w:hAnsi="Arial" w:cs="Arial"/>
            <w:color w:val="0000FF"/>
            <w:sz w:val="20"/>
            <w:szCs w:val="20"/>
            <w:u w:val="single"/>
          </w:rPr>
          <w:t>secos@cfo.org.br</w:t>
        </w:r>
      </w:hyperlink>
      <w:r w:rsidRPr="00007DD9">
        <w:rPr>
          <w:rFonts w:ascii="Arial" w:hAnsi="Arial" w:cs="Arial"/>
          <w:sz w:val="20"/>
          <w:szCs w:val="20"/>
        </w:rPr>
        <w:t xml:space="preserve">, ou, ainda, por petição dirigida ou protocolada no endereço: SHIN CA </w:t>
      </w:r>
      <w:proofErr w:type="gramStart"/>
      <w:r w:rsidRPr="00007DD9">
        <w:rPr>
          <w:rFonts w:ascii="Arial" w:hAnsi="Arial" w:cs="Arial"/>
          <w:sz w:val="20"/>
          <w:szCs w:val="20"/>
        </w:rPr>
        <w:t>7</w:t>
      </w:r>
      <w:proofErr w:type="gramEnd"/>
      <w:r w:rsidRPr="00007DD9">
        <w:rPr>
          <w:rFonts w:ascii="Arial" w:hAnsi="Arial" w:cs="Arial"/>
          <w:sz w:val="20"/>
          <w:szCs w:val="20"/>
        </w:rPr>
        <w:t xml:space="preserve"> Lote 2 – CEP: 71.503-507 – Brasília – DF, de segunda a sexta-feira (exceto feriados), no horário de 09:00 às 12:00h e de 13:00 às 17:00h. Quando enviada por </w:t>
      </w:r>
      <w:r w:rsidRPr="00007DD9">
        <w:rPr>
          <w:rFonts w:ascii="Arial" w:hAnsi="Arial" w:cs="Arial"/>
          <w:i/>
          <w:sz w:val="20"/>
          <w:szCs w:val="20"/>
        </w:rPr>
        <w:t>e-mail</w:t>
      </w:r>
      <w:r w:rsidRPr="00007DD9">
        <w:rPr>
          <w:rFonts w:ascii="Arial" w:hAnsi="Arial" w:cs="Arial"/>
          <w:sz w:val="20"/>
          <w:szCs w:val="20"/>
        </w:rPr>
        <w:t xml:space="preserve">, o emitente deve aferir a confirmação de recebimento pelo pregoeiro.  </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DOS PEDIDOS DE ESCLARECIMENTOS</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Os pedidos de esclarecimentos referentes ao processo licitatório deverão ser enviados ao Pregoeiro, até </w:t>
      </w:r>
      <w:proofErr w:type="gramStart"/>
      <w:r w:rsidRPr="00007DD9">
        <w:rPr>
          <w:rFonts w:ascii="Arial" w:hAnsi="Arial" w:cs="Arial"/>
          <w:b/>
          <w:sz w:val="20"/>
          <w:szCs w:val="20"/>
        </w:rPr>
        <w:t>3</w:t>
      </w:r>
      <w:proofErr w:type="gramEnd"/>
      <w:r w:rsidRPr="00007DD9">
        <w:rPr>
          <w:rFonts w:ascii="Arial" w:hAnsi="Arial" w:cs="Arial"/>
          <w:b/>
          <w:sz w:val="20"/>
          <w:szCs w:val="20"/>
        </w:rPr>
        <w:t xml:space="preserve"> (três) dias úteis</w:t>
      </w:r>
      <w:r w:rsidRPr="00007DD9">
        <w:rPr>
          <w:rFonts w:ascii="Arial" w:hAnsi="Arial" w:cs="Arial"/>
          <w:sz w:val="20"/>
          <w:szCs w:val="20"/>
        </w:rPr>
        <w:t xml:space="preserve"> anteriores à data fixada para abertura da sessão pública, exclusivamente por meio eletrônico via </w:t>
      </w:r>
      <w:r w:rsidRPr="00007DD9">
        <w:rPr>
          <w:rFonts w:ascii="Arial" w:hAnsi="Arial" w:cs="Arial"/>
          <w:i/>
          <w:sz w:val="20"/>
          <w:szCs w:val="20"/>
        </w:rPr>
        <w:t>internet</w:t>
      </w:r>
      <w:r w:rsidRPr="00007DD9">
        <w:rPr>
          <w:rFonts w:ascii="Arial" w:hAnsi="Arial" w:cs="Arial"/>
          <w:sz w:val="20"/>
          <w:szCs w:val="20"/>
        </w:rPr>
        <w:t xml:space="preserve">, no endereço: </w:t>
      </w:r>
      <w:hyperlink r:id="rId13" w:history="1">
        <w:r w:rsidRPr="00007DD9">
          <w:rPr>
            <w:rFonts w:ascii="Arial" w:hAnsi="Arial" w:cs="Arial"/>
            <w:color w:val="0000FF"/>
            <w:sz w:val="20"/>
            <w:szCs w:val="20"/>
            <w:u w:val="single"/>
          </w:rPr>
          <w:t>secos@cfo.org.br</w:t>
        </w:r>
      </w:hyperlink>
      <w:r w:rsidRPr="00007DD9">
        <w:rPr>
          <w:rFonts w:ascii="Arial" w:hAnsi="Arial" w:cs="Arial"/>
          <w:sz w:val="20"/>
          <w:szCs w:val="20"/>
        </w:rPr>
        <w:t>, devendo aferir a confirmação de recebimento pelo Pregoeiro.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Pregoeiro responderá aos pedidos de esclarecimentos no prazo de dois dias úteis, contado da data de recebimento do pedido, e poderá requisitar subsídios formais aos responsáveis pela elaboração do Edital e dos anexos.</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impugnações e pedidos de esclarecimentos não suspendem os prazos previstos no certame.</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A concessão de efeito suspensivo à impugnação é medida excepcional e deverá ser motivada pelo Pregoeiro, nos autos do processo de licitação.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respostas aos pedidos de esclarecimentos serão divulgadas pelo sistema e vincularão os participantes e a administração.</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DOS RECURSOS</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Declarado o vencedor e decorrida a fase de regularização fiscal e trabalhista da licitante qualificada como microempresa ou empresa de pequeno porte, se for o caso, será concedido o prazo de no mínimo vinte minutos, para que qualquer licitante manifeste a intenção de recorrer, de forma motivada, isto é, indicando contra </w:t>
      </w:r>
      <w:proofErr w:type="gramStart"/>
      <w:r w:rsidRPr="00007DD9">
        <w:rPr>
          <w:rFonts w:ascii="Arial" w:hAnsi="Arial" w:cs="Arial"/>
          <w:sz w:val="20"/>
          <w:szCs w:val="20"/>
        </w:rPr>
        <w:t>qual(</w:t>
      </w:r>
      <w:proofErr w:type="spellStart"/>
      <w:proofErr w:type="gramEnd"/>
      <w:r w:rsidRPr="00007DD9">
        <w:rPr>
          <w:rFonts w:ascii="Arial" w:hAnsi="Arial" w:cs="Arial"/>
          <w:sz w:val="20"/>
          <w:szCs w:val="20"/>
        </w:rPr>
        <w:t>is</w:t>
      </w:r>
      <w:proofErr w:type="spellEnd"/>
      <w:r w:rsidRPr="00007DD9">
        <w:rPr>
          <w:rFonts w:ascii="Arial" w:hAnsi="Arial" w:cs="Arial"/>
          <w:sz w:val="20"/>
          <w:szCs w:val="20"/>
        </w:rPr>
        <w:t>) decisão(</w:t>
      </w:r>
      <w:proofErr w:type="spellStart"/>
      <w:r w:rsidRPr="00007DD9">
        <w:rPr>
          <w:rFonts w:ascii="Arial" w:hAnsi="Arial" w:cs="Arial"/>
          <w:sz w:val="20"/>
          <w:szCs w:val="20"/>
        </w:rPr>
        <w:t>ões</w:t>
      </w:r>
      <w:proofErr w:type="spellEnd"/>
      <w:r w:rsidRPr="00007DD9">
        <w:rPr>
          <w:rFonts w:ascii="Arial" w:hAnsi="Arial" w:cs="Arial"/>
          <w:sz w:val="20"/>
          <w:szCs w:val="20"/>
        </w:rPr>
        <w:t xml:space="preserve">) pretende recorrer e por quais motivos, em campo próprio do sistema. </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 xml:space="preserve">Havendo quem se manifeste, caberá ao Pregoeiro verificar a tempestividade e a existência de motivação da intenção de recorrer, para decidir se admite ou não o recurso, fundamentadamente. </w:t>
      </w:r>
    </w:p>
    <w:p w:rsidR="00007DD9" w:rsidRPr="00007DD9" w:rsidRDefault="00007DD9" w:rsidP="00007DD9">
      <w:pPr>
        <w:numPr>
          <w:ilvl w:val="3"/>
          <w:numId w:val="15"/>
        </w:numPr>
        <w:spacing w:before="240" w:after="200" w:line="360" w:lineRule="auto"/>
        <w:ind w:left="567" w:firstLine="0"/>
        <w:contextualSpacing/>
        <w:jc w:val="both"/>
        <w:rPr>
          <w:rFonts w:ascii="Arial" w:hAnsi="Arial" w:cs="Arial"/>
          <w:sz w:val="20"/>
          <w:szCs w:val="20"/>
        </w:rPr>
      </w:pPr>
      <w:r w:rsidRPr="00007DD9">
        <w:rPr>
          <w:rFonts w:ascii="Arial" w:hAnsi="Arial" w:cs="Arial"/>
          <w:sz w:val="20"/>
          <w:szCs w:val="20"/>
        </w:rPr>
        <w:t xml:space="preserve">Nesse momento, o Pregoeiro não adentrará no mérito recursal, mas apenas verificará as condições de admissibilidade do recurso.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falta de manifestação imediata e motivada da licitante quanto à intenção de recorrer importará decadência desse direito.</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Uma vez admitido o recurso, a recorrente terá, a partir de então, o prazo de </w:t>
      </w:r>
      <w:proofErr w:type="gramStart"/>
      <w:r w:rsidRPr="00007DD9">
        <w:rPr>
          <w:rFonts w:ascii="Arial" w:hAnsi="Arial" w:cs="Arial"/>
          <w:sz w:val="20"/>
          <w:szCs w:val="20"/>
        </w:rPr>
        <w:t>3</w:t>
      </w:r>
      <w:proofErr w:type="gramEnd"/>
      <w:r w:rsidRPr="00007DD9">
        <w:rPr>
          <w:rFonts w:ascii="Arial" w:hAnsi="Arial" w:cs="Arial"/>
          <w:sz w:val="20"/>
          <w:szCs w:val="20"/>
        </w:rPr>
        <w:t xml:space="preserve"> (três) dias para apresentar as razões, pelo sistema eletrônico, ficando os demais licitantes, desde logo, intimados para, querendo, apresentarem as contrarrazões também pelo sistema eletrônico, em outros 3 (três) dias, que começarão a contar do término do prazo do recorrente, sendo-lhes assegurada vista imediata dos elementos indispensáveis à defesa de seus interesses.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lastRenderedPageBreak/>
        <w:t>O acolhimento de recurso importará invalidação apenas dos atos insuscetíveis de aproveitamento.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Os autos do processo permanecerão com vista franqueada aos interessados no CFO, situado no SHIN CA </w:t>
      </w:r>
      <w:proofErr w:type="gramStart"/>
      <w:r w:rsidRPr="00007DD9">
        <w:rPr>
          <w:rFonts w:ascii="Arial" w:hAnsi="Arial" w:cs="Arial"/>
          <w:sz w:val="20"/>
          <w:szCs w:val="20"/>
        </w:rPr>
        <w:t>7</w:t>
      </w:r>
      <w:proofErr w:type="gramEnd"/>
      <w:r w:rsidRPr="00007DD9">
        <w:rPr>
          <w:rFonts w:ascii="Arial" w:hAnsi="Arial" w:cs="Arial"/>
          <w:sz w:val="20"/>
          <w:szCs w:val="20"/>
        </w:rPr>
        <w:t xml:space="preserve"> – Lote 2 – Brasília – DF, de segunda a sexta-feira (exceto feriados), no horário das 09:00 às 12:00 e das 13:00 às 16:45 horas.</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 REABERTURA DA SESSÃO PÚBLICA</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A sessão pública poderá ser reaberta:</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Todos os licitantes remanescentes deverão ser convocados para acompanhar a sessão reaberta.</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convocação se dará por meio do sistema eletrônico (“chat”), e-mail, ou, ainda, fac-símile, de acordo com a fase do procedimento licitatório.</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b/>
          <w:sz w:val="20"/>
          <w:szCs w:val="20"/>
        </w:rPr>
      </w:pPr>
      <w:r w:rsidRPr="00007DD9">
        <w:rPr>
          <w:rFonts w:ascii="Arial" w:hAnsi="Arial" w:cs="Arial"/>
          <w:sz w:val="20"/>
          <w:szCs w:val="20"/>
        </w:rPr>
        <w:t>A convocação feita por e-mail ou fac-símile dar-se-á de acordo com os dados contidos no SICAF, sendo responsabilidade do licitante manter seus dados cadastrais atualizados.</w:t>
      </w:r>
    </w:p>
    <w:p w:rsidR="00007DD9" w:rsidRPr="00007DD9" w:rsidRDefault="00007DD9" w:rsidP="00007DD9">
      <w:pPr>
        <w:spacing w:before="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 ADJUDICAÇÃO E DA HOMOLOGAÇÃO</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O objeto da licitação será adjudicado à licitante declarada vencedora, por ato do Pregoeiro, caso não haja interposição de recurso, ou pela autoridade competente, após a regular decisão dos recursos apresentados.</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Após a fase recursal, constatada a regularidade dos atos praticados, a autoridade competente homologará o procedimento licitatório. </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30" w:firstLine="0"/>
              <w:contextualSpacing/>
              <w:rPr>
                <w:rFonts w:ascii="Arial" w:hAnsi="Arial" w:cs="Arial"/>
                <w:sz w:val="20"/>
                <w:szCs w:val="20"/>
              </w:rPr>
            </w:pPr>
            <w:r w:rsidRPr="00007DD9">
              <w:rPr>
                <w:rFonts w:ascii="Arial" w:hAnsi="Arial" w:cs="Arial"/>
                <w:sz w:val="20"/>
                <w:szCs w:val="20"/>
              </w:rPr>
              <w:t>DAS OBRIGAÇÕES DAS PARTES</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As obrigações da CONTRATADA e da CONTRATANTE são aquelas estabelecidas no Termo de Referência – Anexo I </w:t>
      </w:r>
      <w:r w:rsidRPr="00007DD9">
        <w:rPr>
          <w:rFonts w:ascii="Arial" w:hAnsi="Arial" w:cs="Arial"/>
          <w:sz w:val="20"/>
          <w:szCs w:val="20"/>
          <w:highlight w:val="lightGray"/>
        </w:rPr>
        <w:t>(Itens Y e Y).</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DO CONTRATO</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Após a homologação deste certame, a licitante vencedora terá o prazo de </w:t>
      </w:r>
      <w:proofErr w:type="gramStart"/>
      <w:r w:rsidRPr="00007DD9">
        <w:rPr>
          <w:rFonts w:ascii="Arial" w:hAnsi="Arial" w:cs="Arial"/>
          <w:sz w:val="20"/>
          <w:szCs w:val="20"/>
        </w:rPr>
        <w:t>5</w:t>
      </w:r>
      <w:proofErr w:type="gramEnd"/>
      <w:r w:rsidRPr="00007DD9">
        <w:rPr>
          <w:rFonts w:ascii="Arial" w:hAnsi="Arial" w:cs="Arial"/>
          <w:sz w:val="20"/>
          <w:szCs w:val="20"/>
        </w:rPr>
        <w:t xml:space="preserve"> (cinco) dias úteis contados a partir da data de sua convocação, por escrito, para assinatura do contrato, sob pena de decair o direito à contratação, sem prejuízo das sanções previstas neste Edital.</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O prazo previsto no subitem anterior poderá ser prorrogado, por igual período, por solicitação justificada da adjudicatária e aceita pelo CFO.</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lastRenderedPageBreak/>
        <w:t xml:space="preserve">Para assinatura do contrato, será exigida a apresentação de instrumento público de procuração ou de instrumento particular com firma reconhecida do representante que irá assiná-lo, onde comprove a outorga de poderes, na forma da lei. Em sendo sócio, proprietário, dirigente ou assemelhado da empresa, deverá apresentar cópia do respectivo estatuto ou contrato social, no qual estejam expressos seus poderes para exercer direitos e assumir obrigações em decorrência de tal investidura, para que seja assinado ou aceito no prazo de </w:t>
      </w:r>
      <w:proofErr w:type="gramStart"/>
      <w:r w:rsidRPr="00007DD9">
        <w:rPr>
          <w:rFonts w:ascii="Arial" w:hAnsi="Arial" w:cs="Arial"/>
          <w:sz w:val="20"/>
          <w:szCs w:val="20"/>
        </w:rPr>
        <w:t>5</w:t>
      </w:r>
      <w:proofErr w:type="gramEnd"/>
      <w:r w:rsidRPr="00007DD9">
        <w:rPr>
          <w:rFonts w:ascii="Arial" w:hAnsi="Arial" w:cs="Arial"/>
          <w:sz w:val="20"/>
          <w:szCs w:val="20"/>
        </w:rPr>
        <w:t xml:space="preserve"> (cinco) dias úteis, a contar da data de seu recebimento.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Se a vencedora, convocada dentro do prazo de validade da sua proposta, não celebrar o contrato, o Pregoeiro examinará as ofertas subsequentes e a qualificação dos licitantes, na ordem de classificação, e assim sucessivamente, até a apuração de uma que atenda ao Edital, sendo a respectiva licitante declarada vencedora.</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contrato terá vigência de 12 (doze) meses, a contar da data de sua assinatura, podendo ser prorrogado por interesse da CONTRATANTE até o limite de 60 (sessenta) meses, conforme </w:t>
      </w:r>
      <w:proofErr w:type="gramStart"/>
      <w:r w:rsidRPr="00007DD9">
        <w:rPr>
          <w:rFonts w:ascii="Arial" w:hAnsi="Arial" w:cs="Arial"/>
          <w:sz w:val="20"/>
          <w:szCs w:val="20"/>
        </w:rPr>
        <w:t>disposição contidas no art. 57, IV da Lei</w:t>
      </w:r>
      <w:proofErr w:type="gramEnd"/>
      <w:r w:rsidRPr="00007DD9">
        <w:rPr>
          <w:rFonts w:ascii="Arial" w:hAnsi="Arial" w:cs="Arial"/>
          <w:sz w:val="20"/>
          <w:szCs w:val="20"/>
        </w:rPr>
        <w:t xml:space="preserve"> nº 8.666/93 e suas atualizações.</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Antes da celebração do contrato, o CFO realizará consulta </w:t>
      </w:r>
      <w:r w:rsidRPr="00007DD9">
        <w:rPr>
          <w:rFonts w:ascii="Arial" w:hAnsi="Arial" w:cs="Arial"/>
          <w:i/>
          <w:sz w:val="20"/>
          <w:szCs w:val="20"/>
        </w:rPr>
        <w:t>online</w:t>
      </w:r>
      <w:r w:rsidRPr="00007DD9">
        <w:rPr>
          <w:rFonts w:ascii="Arial" w:hAnsi="Arial" w:cs="Arial"/>
          <w:sz w:val="20"/>
          <w:szCs w:val="20"/>
        </w:rPr>
        <w:t xml:space="preserve"> ao Sistema de Cadastramento Unificado de Fornecedores – SICAF e ao Cadastro Informativo de Créditos não Quitados – CADIN, cujo resultado será anexado aos autos.</w:t>
      </w:r>
    </w:p>
    <w:p w:rsidR="00007DD9" w:rsidRPr="00007DD9" w:rsidRDefault="00007DD9" w:rsidP="00007DD9">
      <w:pPr>
        <w:numPr>
          <w:ilvl w:val="2"/>
          <w:numId w:val="15"/>
        </w:numPr>
        <w:spacing w:before="240" w:after="200" w:line="360" w:lineRule="auto"/>
        <w:ind w:left="284" w:firstLine="0"/>
        <w:contextualSpacing/>
        <w:jc w:val="both"/>
        <w:rPr>
          <w:rFonts w:ascii="Arial" w:hAnsi="Arial" w:cs="Arial"/>
          <w:sz w:val="20"/>
          <w:szCs w:val="20"/>
        </w:rPr>
      </w:pPr>
      <w:r w:rsidRPr="00007DD9">
        <w:rPr>
          <w:rFonts w:ascii="Arial" w:hAnsi="Arial" w:cs="Arial"/>
          <w:sz w:val="20"/>
          <w:szCs w:val="20"/>
        </w:rPr>
        <w:t xml:space="preserve">Na hipótese de irregularidade do registro no SICAF, a CONTRATADA deverá regularizar a sua situação perante o cadastro no prazo de até </w:t>
      </w:r>
      <w:proofErr w:type="gramStart"/>
      <w:r w:rsidRPr="00007DD9">
        <w:rPr>
          <w:rFonts w:ascii="Arial" w:hAnsi="Arial" w:cs="Arial"/>
          <w:sz w:val="20"/>
          <w:szCs w:val="20"/>
        </w:rPr>
        <w:t>5</w:t>
      </w:r>
      <w:proofErr w:type="gramEnd"/>
      <w:r w:rsidRPr="00007DD9">
        <w:rPr>
          <w:rFonts w:ascii="Arial" w:hAnsi="Arial" w:cs="Arial"/>
          <w:sz w:val="20"/>
          <w:szCs w:val="20"/>
        </w:rPr>
        <w:t xml:space="preserve"> (cinco) dias, sob pena de aplicação das penalidades previstas no Edital e anexos.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CONTRATADA não tem direito subjetivo à prorrogação contratual.</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prorrogação de contrato deverá ser promovida mediante a celebração de termo aditivo.</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DO PAGAMENTO</w:t>
            </w:r>
          </w:p>
        </w:tc>
      </w:tr>
    </w:tbl>
    <w:p w:rsidR="00007DD9" w:rsidRPr="00007DD9" w:rsidRDefault="00007DD9" w:rsidP="00007DD9">
      <w:pPr>
        <w:numPr>
          <w:ilvl w:val="1"/>
          <w:numId w:val="15"/>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As condições de pagamento são aquelas estabelecidas no Termo de Referência – Anexo I (</w:t>
      </w:r>
      <w:r w:rsidRPr="00007DD9">
        <w:rPr>
          <w:rFonts w:ascii="Arial" w:hAnsi="Arial" w:cs="Arial"/>
          <w:sz w:val="20"/>
          <w:szCs w:val="20"/>
          <w:highlight w:val="lightGray"/>
        </w:rPr>
        <w:t>item Y</w:t>
      </w:r>
      <w:r w:rsidRPr="00007DD9">
        <w:rPr>
          <w:rFonts w:ascii="Arial" w:hAnsi="Arial" w:cs="Arial"/>
          <w:sz w:val="20"/>
          <w:szCs w:val="20"/>
        </w:rPr>
        <w:t>).</w:t>
      </w:r>
    </w:p>
    <w:p w:rsidR="00007DD9" w:rsidRPr="00007DD9" w:rsidRDefault="00007DD9" w:rsidP="00007DD9">
      <w:pPr>
        <w:spacing w:before="240" w:after="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DOS RECURSOS ORÇAMENTÁRIOS</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b/>
          <w:sz w:val="20"/>
          <w:szCs w:val="20"/>
        </w:rPr>
      </w:pPr>
      <w:r w:rsidRPr="00007DD9">
        <w:rPr>
          <w:rFonts w:ascii="Arial" w:hAnsi="Arial" w:cs="Arial"/>
          <w:sz w:val="20"/>
          <w:szCs w:val="20"/>
        </w:rPr>
        <w:t xml:space="preserve">As despesas decorrentes da contratação correrão à conta dos recursos constantes da Rubrica nº </w:t>
      </w:r>
      <w:r w:rsidRPr="00007DD9">
        <w:rPr>
          <w:rFonts w:ascii="Arial" w:hAnsi="Arial" w:cs="Arial"/>
          <w:sz w:val="20"/>
          <w:szCs w:val="20"/>
          <w:highlight w:val="lightGray"/>
        </w:rPr>
        <w:t>XXXXXXXXXXX (</w:t>
      </w:r>
      <w:proofErr w:type="spellStart"/>
      <w:r w:rsidRPr="00007DD9">
        <w:rPr>
          <w:rFonts w:ascii="Arial" w:hAnsi="Arial" w:cs="Arial"/>
          <w:sz w:val="20"/>
          <w:szCs w:val="20"/>
          <w:highlight w:val="lightGray"/>
        </w:rPr>
        <w:t>xxxxxxxxxxxxxxxxxxx</w:t>
      </w:r>
      <w:proofErr w:type="spellEnd"/>
      <w:r w:rsidRPr="00007DD9">
        <w:rPr>
          <w:rFonts w:ascii="Arial" w:hAnsi="Arial" w:cs="Arial"/>
          <w:sz w:val="20"/>
          <w:szCs w:val="20"/>
          <w:highlight w:val="lightGray"/>
        </w:rPr>
        <w:t>).</w:t>
      </w:r>
    </w:p>
    <w:p w:rsidR="00007DD9" w:rsidRPr="00007DD9" w:rsidRDefault="00007DD9" w:rsidP="00007DD9">
      <w:pPr>
        <w:spacing w:line="360" w:lineRule="auto"/>
        <w:contextualSpacing/>
        <w:jc w:val="both"/>
        <w:rPr>
          <w:rFonts w:ascii="Arial" w:eastAsia="Calibri" w:hAnsi="Arial" w:cs="Arial"/>
          <w:sz w:val="20"/>
          <w:szCs w:val="20"/>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 FISCALIZAÇÃO DOS SERVIÇOS</w:t>
            </w:r>
          </w:p>
        </w:tc>
      </w:tr>
    </w:tbl>
    <w:p w:rsidR="00007DD9" w:rsidRPr="00007DD9" w:rsidRDefault="00007DD9" w:rsidP="00007DD9">
      <w:pPr>
        <w:numPr>
          <w:ilvl w:val="1"/>
          <w:numId w:val="15"/>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As condições que tratam da fiscalização dos serviços são aquelas estabelecidas no Termo de Referência – Anexo I (</w:t>
      </w:r>
      <w:r w:rsidRPr="00007DD9">
        <w:rPr>
          <w:rFonts w:ascii="Arial" w:hAnsi="Arial" w:cs="Arial"/>
          <w:sz w:val="20"/>
          <w:szCs w:val="20"/>
          <w:highlight w:val="lightGray"/>
        </w:rPr>
        <w:t>item Y</w:t>
      </w:r>
      <w:r w:rsidRPr="00007DD9">
        <w:rPr>
          <w:rFonts w:ascii="Arial" w:hAnsi="Arial" w:cs="Arial"/>
          <w:sz w:val="20"/>
          <w:szCs w:val="20"/>
        </w:rPr>
        <w:t>).</w:t>
      </w:r>
    </w:p>
    <w:p w:rsidR="00007DD9" w:rsidRPr="00007DD9" w:rsidRDefault="00007DD9" w:rsidP="00007DD9">
      <w:pPr>
        <w:spacing w:before="240" w:after="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rPr>
          <w:trHeight w:val="255"/>
        </w:trPr>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DAS ALTERAÇÕES</w:t>
            </w:r>
          </w:p>
        </w:tc>
      </w:tr>
    </w:tbl>
    <w:p w:rsidR="00007DD9" w:rsidRPr="00007DD9" w:rsidRDefault="00007DD9" w:rsidP="00007DD9">
      <w:pPr>
        <w:numPr>
          <w:ilvl w:val="1"/>
          <w:numId w:val="15"/>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t>As condições que tratam das alterações são aquelas estabelecidas no Termo de Referência – Anexo I (</w:t>
      </w:r>
      <w:r w:rsidRPr="00007DD9">
        <w:rPr>
          <w:rFonts w:ascii="Arial" w:hAnsi="Arial" w:cs="Arial"/>
          <w:sz w:val="20"/>
          <w:szCs w:val="20"/>
          <w:highlight w:val="lightGray"/>
        </w:rPr>
        <w:t>item Y</w:t>
      </w:r>
      <w:r w:rsidRPr="00007DD9">
        <w:rPr>
          <w:rFonts w:ascii="Arial" w:hAnsi="Arial" w:cs="Arial"/>
          <w:sz w:val="20"/>
          <w:szCs w:val="20"/>
        </w:rPr>
        <w:t>).</w:t>
      </w:r>
    </w:p>
    <w:p w:rsidR="00007DD9" w:rsidRPr="00007DD9" w:rsidRDefault="00007DD9" w:rsidP="00007DD9">
      <w:pPr>
        <w:spacing w:before="240" w:after="240" w:line="360" w:lineRule="auto"/>
        <w:contextualSpacing/>
        <w:jc w:val="both"/>
        <w:rPr>
          <w:rFonts w:ascii="Arial" w:hAnsi="Arial" w:cs="Arial"/>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DAS SANÇÕES ADMINISTRATIVAS</w:t>
            </w:r>
          </w:p>
        </w:tc>
      </w:tr>
    </w:tbl>
    <w:p w:rsidR="00007DD9" w:rsidRPr="00007DD9" w:rsidRDefault="00007DD9" w:rsidP="00007DD9">
      <w:pPr>
        <w:numPr>
          <w:ilvl w:val="1"/>
          <w:numId w:val="15"/>
        </w:numPr>
        <w:spacing w:before="240" w:after="240" w:line="360" w:lineRule="auto"/>
        <w:ind w:left="0" w:firstLine="0"/>
        <w:contextualSpacing/>
        <w:jc w:val="both"/>
        <w:rPr>
          <w:rFonts w:ascii="Arial" w:hAnsi="Arial" w:cs="Arial"/>
          <w:sz w:val="20"/>
          <w:szCs w:val="20"/>
        </w:rPr>
      </w:pPr>
      <w:r w:rsidRPr="00007DD9">
        <w:rPr>
          <w:rFonts w:ascii="Arial" w:hAnsi="Arial" w:cs="Arial"/>
          <w:sz w:val="20"/>
          <w:szCs w:val="20"/>
        </w:rPr>
        <w:lastRenderedPageBreak/>
        <w:t>As sanções administrativas são aquelas estabelecidas no Termo de Referência – Anexo I (</w:t>
      </w:r>
      <w:r w:rsidRPr="00007DD9">
        <w:rPr>
          <w:rFonts w:ascii="Arial" w:hAnsi="Arial" w:cs="Arial"/>
          <w:sz w:val="20"/>
          <w:szCs w:val="20"/>
          <w:highlight w:val="lightGray"/>
        </w:rPr>
        <w:t>item Y</w:t>
      </w:r>
      <w:r w:rsidRPr="00007DD9">
        <w:rPr>
          <w:rFonts w:ascii="Arial" w:hAnsi="Arial" w:cs="Arial"/>
          <w:sz w:val="20"/>
          <w:szCs w:val="20"/>
        </w:rPr>
        <w:t>).</w:t>
      </w:r>
    </w:p>
    <w:p w:rsidR="00007DD9" w:rsidRPr="00007DD9" w:rsidRDefault="00007DD9" w:rsidP="00007DD9">
      <w:pPr>
        <w:spacing w:before="240" w:after="240" w:line="360" w:lineRule="auto"/>
        <w:contextualSpacing/>
        <w:jc w:val="both"/>
        <w:rPr>
          <w:rFonts w:ascii="Arial" w:hAnsi="Arial" w:cs="Arial"/>
          <w:sz w:val="20"/>
          <w:szCs w:val="20"/>
        </w:rPr>
      </w:pPr>
      <w:r w:rsidRPr="00007DD9">
        <w:rPr>
          <w:rFonts w:ascii="Arial" w:hAnsi="Arial" w:cs="Arial"/>
          <w:sz w:val="20"/>
          <w:szCs w:val="20"/>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007DD9" w:rsidRPr="00007DD9" w:rsidTr="0038050A">
        <w:tc>
          <w:tcPr>
            <w:tcW w:w="9639" w:type="dxa"/>
            <w:tcBorders>
              <w:top w:val="single" w:sz="4" w:space="0" w:color="auto"/>
              <w:left w:val="single" w:sz="4" w:space="0" w:color="auto"/>
              <w:bottom w:val="single" w:sz="4" w:space="0" w:color="auto"/>
              <w:right w:val="single" w:sz="4" w:space="0" w:color="auto"/>
            </w:tcBorders>
            <w:shd w:val="clear" w:color="auto" w:fill="D9D9D9"/>
            <w:hideMark/>
          </w:tcPr>
          <w:p w:rsidR="00007DD9" w:rsidRPr="00007DD9" w:rsidRDefault="00007DD9" w:rsidP="00007DD9">
            <w:pPr>
              <w:numPr>
                <w:ilvl w:val="0"/>
                <w:numId w:val="15"/>
              </w:numPr>
              <w:spacing w:after="200" w:line="276" w:lineRule="auto"/>
              <w:ind w:left="22" w:hanging="22"/>
              <w:contextualSpacing/>
              <w:rPr>
                <w:rFonts w:ascii="Arial" w:hAnsi="Arial" w:cs="Arial"/>
                <w:sz w:val="20"/>
                <w:szCs w:val="20"/>
              </w:rPr>
            </w:pPr>
            <w:r w:rsidRPr="00007DD9">
              <w:rPr>
                <w:rFonts w:ascii="Arial" w:hAnsi="Arial" w:cs="Arial"/>
                <w:sz w:val="20"/>
                <w:szCs w:val="20"/>
              </w:rPr>
              <w:t>DAS DISPOSIÇÕES GERAIS</w:t>
            </w:r>
          </w:p>
        </w:tc>
      </w:tr>
    </w:tbl>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Da sessão pública do Pregão divulgar-se-á Ata no sistema eletrônico.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Todas as referências de tempo no Edital no aviso e durante a sessão pública observarão o horário de Brasília – DF.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No julgamento da habilitação e das propostas,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 homologação do resultado desta licitação não implicará direito à contratação.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licitantes assumem todos os custos de preparação e apresentação de suas propostas e o CFO não será, em nenhum caso, responsável por esses custos, independentemente da condução ou do resultado do processo licitatório.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Na contagem dos prazos estabelecidos neste Edital e seus Anexos, excluir-se-á o dia do início e incluir-se-á o do vencimento. Só se iniciam e vencem os prazos em dias de expediente na Administração.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O desatendimento de exigências formais não essenciais não importará o afastamento da licitante desde que seja possível o aproveitamento do ato, observados os princípios da isonomia e do interesse público.</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Em caso de divergência entre disposições deste Edital e de seus anexos ou demais peças que compõem os processos, prevalecerá as deste Edital.</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As respostas aos pedidos de esclarecimentos, bem como as demais informações relevantes, serão divulgadas mediante publicações no portal COMPRAS GOVERNAMENTAIS (</w:t>
      </w:r>
      <w:hyperlink r:id="rId14" w:history="1">
        <w:r w:rsidRPr="00007DD9">
          <w:rPr>
            <w:rFonts w:ascii="Arial" w:hAnsi="Arial" w:cs="Arial"/>
            <w:color w:val="0000FF"/>
            <w:sz w:val="20"/>
            <w:szCs w:val="20"/>
            <w:u w:val="single"/>
          </w:rPr>
          <w:t>www.comprasgovernamentais.gov.br</w:t>
        </w:r>
      </w:hyperlink>
      <w:r w:rsidRPr="00007DD9">
        <w:rPr>
          <w:rFonts w:ascii="Arial" w:hAnsi="Arial" w:cs="Arial"/>
          <w:sz w:val="20"/>
          <w:szCs w:val="20"/>
        </w:rPr>
        <w:t>) e no Portal da Transparência do CFO (</w:t>
      </w:r>
      <w:hyperlink r:id="rId15" w:history="1">
        <w:r w:rsidRPr="00007DD9">
          <w:rPr>
            <w:rFonts w:ascii="Arial" w:hAnsi="Arial" w:cs="Arial"/>
            <w:color w:val="0000FF"/>
            <w:sz w:val="20"/>
            <w:szCs w:val="20"/>
            <w:u w:val="single"/>
          </w:rPr>
          <w:t>http://transparenciacfo.org.br/</w:t>
        </w:r>
      </w:hyperlink>
      <w:r w:rsidRPr="00007DD9">
        <w:rPr>
          <w:rFonts w:ascii="Arial" w:hAnsi="Arial" w:cs="Arial"/>
          <w:sz w:val="20"/>
          <w:szCs w:val="20"/>
        </w:rPr>
        <w:t xml:space="preserve">), ficando as empresas interessadas em participar do </w:t>
      </w:r>
      <w:proofErr w:type="gramStart"/>
      <w:r w:rsidRPr="00007DD9">
        <w:rPr>
          <w:rFonts w:ascii="Arial" w:hAnsi="Arial" w:cs="Arial"/>
          <w:sz w:val="20"/>
          <w:szCs w:val="20"/>
        </w:rPr>
        <w:t>certame obrigadas a acessá-las para a obtenção das informações prestadas</w:t>
      </w:r>
      <w:proofErr w:type="gramEnd"/>
      <w:r w:rsidRPr="00007DD9">
        <w:rPr>
          <w:rFonts w:ascii="Arial" w:hAnsi="Arial" w:cs="Arial"/>
          <w:sz w:val="20"/>
          <w:szCs w:val="20"/>
        </w:rPr>
        <w:t>.</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O valor estimado da licitação é de </w:t>
      </w:r>
      <w:proofErr w:type="spellStart"/>
      <w:r w:rsidRPr="00007DD9">
        <w:rPr>
          <w:rFonts w:ascii="Arial" w:hAnsi="Arial" w:cs="Arial"/>
          <w:b/>
          <w:sz w:val="20"/>
          <w:szCs w:val="20"/>
          <w:highlight w:val="lightGray"/>
        </w:rPr>
        <w:t>R$xxxxxxxxxxxx</w:t>
      </w:r>
      <w:proofErr w:type="spellEnd"/>
      <w:r w:rsidRPr="00007DD9">
        <w:rPr>
          <w:rFonts w:ascii="Arial" w:hAnsi="Arial" w:cs="Arial"/>
          <w:b/>
          <w:sz w:val="20"/>
          <w:szCs w:val="20"/>
          <w:highlight w:val="lightGray"/>
        </w:rPr>
        <w:t xml:space="preserve"> (</w:t>
      </w:r>
      <w:proofErr w:type="spellStart"/>
      <w:r w:rsidRPr="00007DD9">
        <w:rPr>
          <w:rFonts w:ascii="Arial" w:hAnsi="Arial" w:cs="Arial"/>
          <w:b/>
          <w:sz w:val="20"/>
          <w:szCs w:val="20"/>
          <w:highlight w:val="lightGray"/>
        </w:rPr>
        <w:t>xxxxxxxxxxxxxxxxxxx</w:t>
      </w:r>
      <w:proofErr w:type="spellEnd"/>
      <w:r w:rsidRPr="00007DD9">
        <w:rPr>
          <w:rFonts w:ascii="Arial" w:hAnsi="Arial" w:cs="Arial"/>
          <w:b/>
          <w:sz w:val="20"/>
          <w:szCs w:val="20"/>
          <w:highlight w:val="lightGray"/>
        </w:rPr>
        <w:t>)</w:t>
      </w:r>
      <w:r w:rsidRPr="00007DD9">
        <w:rPr>
          <w:rFonts w:ascii="Arial" w:hAnsi="Arial" w:cs="Arial"/>
          <w:sz w:val="20"/>
          <w:szCs w:val="20"/>
          <w:highlight w:val="lightGray"/>
        </w:rPr>
        <w:t>,</w:t>
      </w:r>
      <w:r w:rsidRPr="00007DD9">
        <w:rPr>
          <w:rFonts w:ascii="Arial" w:hAnsi="Arial" w:cs="Arial"/>
          <w:sz w:val="20"/>
          <w:szCs w:val="20"/>
        </w:rPr>
        <w:t xml:space="preserve"> conforme planilhas de custo e formação de preços que integram o </w:t>
      </w:r>
      <w:r w:rsidRPr="00007DD9">
        <w:rPr>
          <w:rFonts w:ascii="Arial" w:hAnsi="Arial" w:cs="Arial"/>
          <w:sz w:val="20"/>
          <w:szCs w:val="20"/>
          <w:highlight w:val="lightGray"/>
        </w:rPr>
        <w:t>Anexo III</w:t>
      </w:r>
      <w:r w:rsidRPr="00007DD9">
        <w:rPr>
          <w:rFonts w:ascii="Arial" w:hAnsi="Arial" w:cs="Arial"/>
          <w:sz w:val="20"/>
          <w:szCs w:val="20"/>
        </w:rPr>
        <w:t xml:space="preserve"> deste Edital. </w:t>
      </w:r>
    </w:p>
    <w:p w:rsidR="00007DD9" w:rsidRPr="00007DD9" w:rsidRDefault="00007DD9" w:rsidP="00007DD9">
      <w:pPr>
        <w:numPr>
          <w:ilvl w:val="1"/>
          <w:numId w:val="15"/>
        </w:numPr>
        <w:spacing w:before="240" w:after="200" w:line="360" w:lineRule="auto"/>
        <w:ind w:left="0" w:firstLine="0"/>
        <w:contextualSpacing/>
        <w:jc w:val="both"/>
        <w:rPr>
          <w:rFonts w:ascii="Arial" w:hAnsi="Arial" w:cs="Arial"/>
          <w:sz w:val="20"/>
          <w:szCs w:val="20"/>
        </w:rPr>
      </w:pPr>
      <w:r w:rsidRPr="00007DD9">
        <w:rPr>
          <w:rFonts w:ascii="Arial" w:hAnsi="Arial" w:cs="Arial"/>
          <w:sz w:val="20"/>
          <w:szCs w:val="20"/>
        </w:rPr>
        <w:t xml:space="preserve">Este Edital e seus anexos estarão disponibilizados, na íntegra, nos endereços: </w:t>
      </w:r>
      <w:hyperlink r:id="rId16" w:history="1">
        <w:r w:rsidRPr="00007DD9">
          <w:rPr>
            <w:rFonts w:ascii="Arial" w:hAnsi="Arial" w:cs="Arial"/>
            <w:color w:val="0000FF"/>
            <w:sz w:val="20"/>
            <w:szCs w:val="20"/>
            <w:u w:val="single"/>
          </w:rPr>
          <w:t>www.comprasgovernamentais.gov.br</w:t>
        </w:r>
      </w:hyperlink>
      <w:r w:rsidRPr="00007DD9">
        <w:rPr>
          <w:rFonts w:ascii="Arial" w:hAnsi="Arial" w:cs="Arial"/>
          <w:sz w:val="20"/>
          <w:szCs w:val="20"/>
        </w:rPr>
        <w:t xml:space="preserve"> e </w:t>
      </w:r>
      <w:hyperlink r:id="rId17" w:history="1">
        <w:r w:rsidRPr="00007DD9">
          <w:rPr>
            <w:rFonts w:ascii="Arial" w:hAnsi="Arial" w:cs="Arial"/>
            <w:color w:val="0000FF"/>
            <w:sz w:val="20"/>
            <w:szCs w:val="20"/>
            <w:u w:val="single"/>
          </w:rPr>
          <w:t>http://transparenciacfo.org.br</w:t>
        </w:r>
      </w:hyperlink>
      <w:r w:rsidRPr="00007DD9">
        <w:rPr>
          <w:rFonts w:ascii="Arial" w:hAnsi="Arial" w:cs="Arial"/>
          <w:sz w:val="20"/>
          <w:szCs w:val="20"/>
        </w:rPr>
        <w:t xml:space="preserve">, ou poderão ser retirados no Conselho Federal de Odontologia – SHIN CA </w:t>
      </w:r>
      <w:proofErr w:type="gramStart"/>
      <w:r w:rsidRPr="00007DD9">
        <w:rPr>
          <w:rFonts w:ascii="Arial" w:hAnsi="Arial" w:cs="Arial"/>
          <w:sz w:val="20"/>
          <w:szCs w:val="20"/>
        </w:rPr>
        <w:t>7</w:t>
      </w:r>
      <w:proofErr w:type="gramEnd"/>
      <w:r w:rsidRPr="00007DD9">
        <w:rPr>
          <w:rFonts w:ascii="Arial" w:hAnsi="Arial" w:cs="Arial"/>
          <w:sz w:val="20"/>
          <w:szCs w:val="20"/>
        </w:rPr>
        <w:t xml:space="preserve"> – Lote 2 – Brasília – DF, de segunda a </w:t>
      </w:r>
      <w:r w:rsidRPr="00007DD9">
        <w:rPr>
          <w:rFonts w:ascii="Arial" w:hAnsi="Arial" w:cs="Arial"/>
          <w:sz w:val="20"/>
          <w:szCs w:val="20"/>
        </w:rPr>
        <w:lastRenderedPageBreak/>
        <w:t>sexta-feira (exceto feriados), no horário das 08:00 às 12:00 e das 13:00 às 16:45 horas. Telefone para contato: (61) 3033-4499.</w:t>
      </w:r>
    </w:p>
    <w:p w:rsidR="00007DD9" w:rsidRPr="00007DD9" w:rsidRDefault="00007DD9" w:rsidP="00007DD9">
      <w:pPr>
        <w:spacing w:before="240" w:line="360" w:lineRule="auto"/>
        <w:contextualSpacing/>
        <w:jc w:val="right"/>
        <w:rPr>
          <w:rFonts w:ascii="Arial" w:hAnsi="Arial" w:cs="Arial"/>
          <w:sz w:val="20"/>
          <w:szCs w:val="20"/>
        </w:rPr>
      </w:pPr>
    </w:p>
    <w:p w:rsidR="00007DD9" w:rsidRPr="00007DD9" w:rsidRDefault="00007DD9" w:rsidP="00007DD9">
      <w:pPr>
        <w:spacing w:before="240" w:line="360" w:lineRule="auto"/>
        <w:contextualSpacing/>
        <w:jc w:val="right"/>
        <w:rPr>
          <w:rFonts w:ascii="Arial" w:hAnsi="Arial" w:cs="Arial"/>
          <w:sz w:val="20"/>
          <w:szCs w:val="20"/>
        </w:rPr>
      </w:pPr>
      <w:r w:rsidRPr="00007DD9">
        <w:rPr>
          <w:rFonts w:ascii="Arial" w:hAnsi="Arial" w:cs="Arial"/>
          <w:sz w:val="20"/>
          <w:szCs w:val="20"/>
        </w:rPr>
        <w:t>Brasília – DF</w:t>
      </w:r>
      <w:r w:rsidRPr="00007DD9">
        <w:rPr>
          <w:rFonts w:ascii="Arial" w:hAnsi="Arial" w:cs="Arial"/>
          <w:sz w:val="20"/>
          <w:szCs w:val="20"/>
          <w:highlight w:val="lightGray"/>
        </w:rPr>
        <w:t xml:space="preserve">, </w:t>
      </w:r>
      <w:proofErr w:type="spellStart"/>
      <w:r w:rsidRPr="00007DD9">
        <w:rPr>
          <w:rFonts w:ascii="Arial" w:hAnsi="Arial" w:cs="Arial"/>
          <w:sz w:val="20"/>
          <w:szCs w:val="20"/>
          <w:highlight w:val="lightGray"/>
        </w:rPr>
        <w:t>xx</w:t>
      </w:r>
      <w:proofErr w:type="spellEnd"/>
      <w:r w:rsidRPr="00007DD9">
        <w:rPr>
          <w:rFonts w:ascii="Arial" w:hAnsi="Arial" w:cs="Arial"/>
          <w:sz w:val="20"/>
          <w:szCs w:val="20"/>
          <w:highlight w:val="lightGray"/>
        </w:rPr>
        <w:t xml:space="preserve"> de </w:t>
      </w:r>
      <w:proofErr w:type="spellStart"/>
      <w:r w:rsidRPr="00007DD9">
        <w:rPr>
          <w:rFonts w:ascii="Arial" w:hAnsi="Arial" w:cs="Arial"/>
          <w:sz w:val="20"/>
          <w:szCs w:val="20"/>
          <w:highlight w:val="lightGray"/>
        </w:rPr>
        <w:t>xxxxxx</w:t>
      </w:r>
      <w:proofErr w:type="spellEnd"/>
      <w:r w:rsidRPr="00007DD9">
        <w:rPr>
          <w:rFonts w:ascii="Arial" w:hAnsi="Arial" w:cs="Arial"/>
          <w:sz w:val="20"/>
          <w:szCs w:val="20"/>
          <w:highlight w:val="lightGray"/>
        </w:rPr>
        <w:t xml:space="preserve"> de 20xx.</w:t>
      </w:r>
    </w:p>
    <w:p w:rsidR="00007DD9" w:rsidRPr="00007DD9" w:rsidRDefault="00007DD9" w:rsidP="00007DD9">
      <w:pPr>
        <w:spacing w:line="360" w:lineRule="auto"/>
        <w:jc w:val="center"/>
        <w:rPr>
          <w:rFonts w:ascii="Arial" w:hAnsi="Arial" w:cs="Arial"/>
          <w:b/>
          <w:sz w:val="20"/>
          <w:szCs w:val="20"/>
        </w:rPr>
      </w:pPr>
    </w:p>
    <w:p w:rsidR="00A34941" w:rsidRPr="00007DD9" w:rsidRDefault="00A34941" w:rsidP="00007DD9">
      <w:pPr>
        <w:rPr>
          <w:sz w:val="20"/>
          <w:szCs w:val="20"/>
        </w:rPr>
      </w:pPr>
    </w:p>
    <w:sectPr w:rsidR="00A34941" w:rsidRPr="00007DD9" w:rsidSect="0072053F">
      <w:footerReference w:type="default" r:id="rId18"/>
      <w:pgSz w:w="11906" w:h="16838"/>
      <w:pgMar w:top="1417" w:right="1701" w:bottom="1417" w:left="16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EA9" w:rsidRDefault="00C33EA9" w:rsidP="00C33EA9">
      <w:r>
        <w:separator/>
      </w:r>
    </w:p>
  </w:endnote>
  <w:endnote w:type="continuationSeparator" w:id="0">
    <w:p w:rsidR="00C33EA9" w:rsidRDefault="00C33EA9" w:rsidP="00C33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261216"/>
      <w:docPartObj>
        <w:docPartGallery w:val="Page Numbers (Bottom of Page)"/>
        <w:docPartUnique/>
      </w:docPartObj>
    </w:sdtPr>
    <w:sdtEndPr/>
    <w:sdtContent>
      <w:p w:rsidR="00C33EA9" w:rsidRDefault="00C33EA9">
        <w:pPr>
          <w:pStyle w:val="Rodap"/>
          <w:jc w:val="right"/>
        </w:pPr>
        <w:r w:rsidRPr="00C33EA9">
          <w:rPr>
            <w:rFonts w:ascii="Arial" w:hAnsi="Arial" w:cs="Arial"/>
            <w:sz w:val="16"/>
            <w:szCs w:val="16"/>
          </w:rPr>
          <w:fldChar w:fldCharType="begin"/>
        </w:r>
        <w:r w:rsidRPr="00C33EA9">
          <w:rPr>
            <w:rFonts w:ascii="Arial" w:hAnsi="Arial" w:cs="Arial"/>
            <w:sz w:val="16"/>
            <w:szCs w:val="16"/>
          </w:rPr>
          <w:instrText>PAGE   \* MERGEFORMAT</w:instrText>
        </w:r>
        <w:r w:rsidRPr="00C33EA9">
          <w:rPr>
            <w:rFonts w:ascii="Arial" w:hAnsi="Arial" w:cs="Arial"/>
            <w:sz w:val="16"/>
            <w:szCs w:val="16"/>
          </w:rPr>
          <w:fldChar w:fldCharType="separate"/>
        </w:r>
        <w:r w:rsidR="00007DD9">
          <w:rPr>
            <w:rFonts w:ascii="Arial" w:hAnsi="Arial" w:cs="Arial"/>
            <w:noProof/>
            <w:sz w:val="16"/>
            <w:szCs w:val="16"/>
          </w:rPr>
          <w:t>1</w:t>
        </w:r>
        <w:r w:rsidRPr="00C33EA9">
          <w:rPr>
            <w:rFonts w:ascii="Arial" w:hAnsi="Arial" w:cs="Arial"/>
            <w:sz w:val="16"/>
            <w:szCs w:val="16"/>
          </w:rPr>
          <w:fldChar w:fldCharType="end"/>
        </w:r>
      </w:p>
    </w:sdtContent>
  </w:sdt>
  <w:p w:rsidR="00C33EA9" w:rsidRDefault="00C33EA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EA9" w:rsidRDefault="00C33EA9" w:rsidP="00C33EA9">
      <w:r>
        <w:separator/>
      </w:r>
    </w:p>
  </w:footnote>
  <w:footnote w:type="continuationSeparator" w:id="0">
    <w:p w:rsidR="00C33EA9" w:rsidRDefault="00C33EA9" w:rsidP="00C33E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110F"/>
    <w:multiLevelType w:val="multilevel"/>
    <w:tmpl w:val="166A53BC"/>
    <w:lvl w:ilvl="0">
      <w:start w:val="1"/>
      <w:numFmt w:val="decimal"/>
      <w:lvlText w:val="%1."/>
      <w:lvlJc w:val="left"/>
      <w:pPr>
        <w:ind w:left="360" w:hanging="360"/>
      </w:pPr>
      <w:rPr>
        <w:rFonts w:hint="default"/>
        <w:b/>
        <w:bCs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781" w:hanging="504"/>
      </w:pPr>
      <w:rPr>
        <w:rFonts w:hint="default"/>
        <w:b w:val="0"/>
        <w:bCs w:val="0"/>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C31538"/>
    <w:multiLevelType w:val="multilevel"/>
    <w:tmpl w:val="9844E472"/>
    <w:lvl w:ilvl="0">
      <w:start w:val="9"/>
      <w:numFmt w:val="decimal"/>
      <w:lvlText w:val="%1"/>
      <w:lvlJc w:val="left"/>
      <w:pPr>
        <w:ind w:left="360" w:hanging="360"/>
      </w:pPr>
      <w:rPr>
        <w:rFonts w:hint="default"/>
        <w:strike/>
      </w:rPr>
    </w:lvl>
    <w:lvl w:ilvl="1">
      <w:start w:val="2"/>
      <w:numFmt w:val="decimal"/>
      <w:lvlText w:val="%1.%2"/>
      <w:lvlJc w:val="left"/>
      <w:pPr>
        <w:ind w:left="1230" w:hanging="360"/>
      </w:pPr>
      <w:rPr>
        <w:rFonts w:hint="default"/>
        <w:b/>
      </w:rPr>
    </w:lvl>
    <w:lvl w:ilvl="2">
      <w:start w:val="1"/>
      <w:numFmt w:val="decimal"/>
      <w:lvlText w:val="%1.%2.%3"/>
      <w:lvlJc w:val="left"/>
      <w:pPr>
        <w:ind w:left="1571"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8760" w:hanging="1800"/>
      </w:pPr>
      <w:rPr>
        <w:rFonts w:hint="default"/>
      </w:rPr>
    </w:lvl>
  </w:abstractNum>
  <w:abstractNum w:abstractNumId="2">
    <w:nsid w:val="17E84200"/>
    <w:multiLevelType w:val="multilevel"/>
    <w:tmpl w:val="AB94E94C"/>
    <w:lvl w:ilvl="0">
      <w:start w:val="11"/>
      <w:numFmt w:val="decimal"/>
      <w:lvlText w:val="%1."/>
      <w:lvlJc w:val="left"/>
      <w:pPr>
        <w:ind w:left="435" w:hanging="435"/>
      </w:pPr>
    </w:lvl>
    <w:lvl w:ilvl="1">
      <w:start w:val="1"/>
      <w:numFmt w:val="decimal"/>
      <w:lvlText w:val="%1.%2."/>
      <w:lvlJc w:val="left"/>
      <w:pPr>
        <w:ind w:left="1155" w:hanging="435"/>
      </w:pPr>
      <w:rPr>
        <w:b/>
        <w:bCs/>
      </w:rPr>
    </w:lvl>
    <w:lvl w:ilvl="2">
      <w:start w:val="1"/>
      <w:numFmt w:val="decimal"/>
      <w:lvlText w:val="%1.%2.%3."/>
      <w:lvlJc w:val="left"/>
      <w:pPr>
        <w:ind w:left="2160" w:hanging="720"/>
      </w:pPr>
      <w:rPr>
        <w:b/>
        <w:bCs/>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
    <w:nsid w:val="18936FD9"/>
    <w:multiLevelType w:val="hybridMultilevel"/>
    <w:tmpl w:val="056ECB48"/>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4">
    <w:nsid w:val="1B06621C"/>
    <w:multiLevelType w:val="hybridMultilevel"/>
    <w:tmpl w:val="7B20F55E"/>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BA829EB"/>
    <w:multiLevelType w:val="multilevel"/>
    <w:tmpl w:val="8C422C76"/>
    <w:lvl w:ilvl="0">
      <w:start w:val="10"/>
      <w:numFmt w:val="decimal"/>
      <w:lvlText w:val="%1."/>
      <w:lvlJc w:val="left"/>
      <w:pPr>
        <w:ind w:left="705" w:hanging="705"/>
      </w:pPr>
    </w:lvl>
    <w:lvl w:ilvl="1">
      <w:start w:val="11"/>
      <w:numFmt w:val="decimal"/>
      <w:lvlText w:val="%1.%2."/>
      <w:lvlJc w:val="left"/>
      <w:pPr>
        <w:ind w:left="2151" w:hanging="705"/>
      </w:pPr>
      <w:rPr>
        <w:b/>
        <w:bCs/>
      </w:rPr>
    </w:lvl>
    <w:lvl w:ilvl="2">
      <w:start w:val="1"/>
      <w:numFmt w:val="decimal"/>
      <w:lvlText w:val="%1.%2.%3."/>
      <w:lvlJc w:val="left"/>
      <w:pPr>
        <w:ind w:left="3612" w:hanging="720"/>
      </w:pPr>
      <w:rPr>
        <w:rFonts w:ascii="Calibri" w:hAnsi="Calibri" w:cs="Calibri" w:hint="default"/>
        <w:b/>
        <w:bCs/>
      </w:rPr>
    </w:lvl>
    <w:lvl w:ilvl="3">
      <w:start w:val="1"/>
      <w:numFmt w:val="decimal"/>
      <w:lvlText w:val="%1.%2.%3.%4."/>
      <w:lvlJc w:val="left"/>
      <w:pPr>
        <w:ind w:left="5058" w:hanging="720"/>
      </w:pPr>
    </w:lvl>
    <w:lvl w:ilvl="4">
      <w:start w:val="1"/>
      <w:numFmt w:val="decimal"/>
      <w:lvlText w:val="%1.%2.%3.%4.%5."/>
      <w:lvlJc w:val="left"/>
      <w:pPr>
        <w:ind w:left="6864" w:hanging="1080"/>
      </w:pPr>
    </w:lvl>
    <w:lvl w:ilvl="5">
      <w:start w:val="1"/>
      <w:numFmt w:val="decimal"/>
      <w:lvlText w:val="%1.%2.%3.%4.%5.%6."/>
      <w:lvlJc w:val="left"/>
      <w:pPr>
        <w:ind w:left="8310" w:hanging="1080"/>
      </w:pPr>
    </w:lvl>
    <w:lvl w:ilvl="6">
      <w:start w:val="1"/>
      <w:numFmt w:val="decimal"/>
      <w:lvlText w:val="%1.%2.%3.%4.%5.%6.%7."/>
      <w:lvlJc w:val="left"/>
      <w:pPr>
        <w:ind w:left="10116" w:hanging="1440"/>
      </w:pPr>
    </w:lvl>
    <w:lvl w:ilvl="7">
      <w:start w:val="1"/>
      <w:numFmt w:val="decimal"/>
      <w:lvlText w:val="%1.%2.%3.%4.%5.%6.%7.%8."/>
      <w:lvlJc w:val="left"/>
      <w:pPr>
        <w:ind w:left="11562" w:hanging="1440"/>
      </w:pPr>
    </w:lvl>
    <w:lvl w:ilvl="8">
      <w:start w:val="1"/>
      <w:numFmt w:val="decimal"/>
      <w:lvlText w:val="%1.%2.%3.%4.%5.%6.%7.%8.%9."/>
      <w:lvlJc w:val="left"/>
      <w:pPr>
        <w:ind w:left="13368" w:hanging="1800"/>
      </w:pPr>
    </w:lvl>
  </w:abstractNum>
  <w:abstractNum w:abstractNumId="6">
    <w:nsid w:val="2CBF457F"/>
    <w:multiLevelType w:val="hybridMultilevel"/>
    <w:tmpl w:val="6D2A7B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A602A13"/>
    <w:multiLevelType w:val="multilevel"/>
    <w:tmpl w:val="AD2E3D36"/>
    <w:lvl w:ilvl="0">
      <w:start w:val="10"/>
      <w:numFmt w:val="decimal"/>
      <w:lvlText w:val="%1."/>
      <w:lvlJc w:val="left"/>
      <w:pPr>
        <w:ind w:left="840" w:hanging="840"/>
      </w:pPr>
      <w:rPr>
        <w:b w:val="0"/>
      </w:rPr>
    </w:lvl>
    <w:lvl w:ilvl="1">
      <w:start w:val="1"/>
      <w:numFmt w:val="decimal"/>
      <w:lvlText w:val="%1.%2."/>
      <w:lvlJc w:val="left"/>
      <w:pPr>
        <w:ind w:left="1029" w:hanging="840"/>
      </w:pPr>
      <w:rPr>
        <w:b w:val="0"/>
      </w:rPr>
    </w:lvl>
    <w:lvl w:ilvl="2">
      <w:start w:val="3"/>
      <w:numFmt w:val="decimal"/>
      <w:lvlText w:val="%1.%2.%3."/>
      <w:lvlJc w:val="left"/>
      <w:pPr>
        <w:ind w:left="1218" w:hanging="840"/>
      </w:pPr>
      <w:rPr>
        <w:b w:val="0"/>
      </w:rPr>
    </w:lvl>
    <w:lvl w:ilvl="3">
      <w:start w:val="1"/>
      <w:numFmt w:val="decimal"/>
      <w:lvlText w:val="%1.%2.%3.%4."/>
      <w:lvlJc w:val="left"/>
      <w:pPr>
        <w:ind w:left="1647" w:hanging="1080"/>
      </w:pPr>
      <w:rPr>
        <w:b w:val="0"/>
      </w:rPr>
    </w:lvl>
    <w:lvl w:ilvl="4">
      <w:start w:val="1"/>
      <w:numFmt w:val="decimal"/>
      <w:lvlText w:val="%1.%2.%3.%4.%5."/>
      <w:lvlJc w:val="left"/>
      <w:pPr>
        <w:ind w:left="1836" w:hanging="1080"/>
      </w:pPr>
      <w:rPr>
        <w:b w:val="0"/>
      </w:rPr>
    </w:lvl>
    <w:lvl w:ilvl="5">
      <w:start w:val="1"/>
      <w:numFmt w:val="decimal"/>
      <w:lvlText w:val="%1.%2.%3.%4.%5.%6."/>
      <w:lvlJc w:val="left"/>
      <w:pPr>
        <w:ind w:left="2385" w:hanging="1440"/>
      </w:pPr>
      <w:rPr>
        <w:b w:val="0"/>
      </w:rPr>
    </w:lvl>
    <w:lvl w:ilvl="6">
      <w:start w:val="1"/>
      <w:numFmt w:val="decimal"/>
      <w:lvlText w:val="%1.%2.%3.%4.%5.%6.%7."/>
      <w:lvlJc w:val="left"/>
      <w:pPr>
        <w:ind w:left="2574" w:hanging="1440"/>
      </w:pPr>
      <w:rPr>
        <w:b w:val="0"/>
      </w:rPr>
    </w:lvl>
    <w:lvl w:ilvl="7">
      <w:start w:val="1"/>
      <w:numFmt w:val="decimal"/>
      <w:lvlText w:val="%1.%2.%3.%4.%5.%6.%7.%8."/>
      <w:lvlJc w:val="left"/>
      <w:pPr>
        <w:ind w:left="3123" w:hanging="1800"/>
      </w:pPr>
      <w:rPr>
        <w:b w:val="0"/>
      </w:rPr>
    </w:lvl>
    <w:lvl w:ilvl="8">
      <w:start w:val="1"/>
      <w:numFmt w:val="decimal"/>
      <w:lvlText w:val="%1.%2.%3.%4.%5.%6.%7.%8.%9."/>
      <w:lvlJc w:val="left"/>
      <w:pPr>
        <w:ind w:left="3312" w:hanging="1800"/>
      </w:pPr>
      <w:rPr>
        <w:b w:val="0"/>
      </w:rPr>
    </w:lvl>
  </w:abstractNum>
  <w:abstractNum w:abstractNumId="8">
    <w:nsid w:val="3FBA71ED"/>
    <w:multiLevelType w:val="multilevel"/>
    <w:tmpl w:val="ACB4143E"/>
    <w:lvl w:ilvl="0">
      <w:start w:val="10"/>
      <w:numFmt w:val="decimal"/>
      <w:lvlText w:val="%1."/>
      <w:lvlJc w:val="left"/>
      <w:pPr>
        <w:ind w:left="870" w:hanging="870"/>
      </w:pPr>
    </w:lvl>
    <w:lvl w:ilvl="1">
      <w:start w:val="10"/>
      <w:numFmt w:val="decimal"/>
      <w:lvlText w:val="%1.%2."/>
      <w:lvlJc w:val="left"/>
      <w:pPr>
        <w:ind w:left="2316" w:hanging="870"/>
      </w:pPr>
    </w:lvl>
    <w:lvl w:ilvl="2">
      <w:start w:val="2"/>
      <w:numFmt w:val="decimal"/>
      <w:lvlText w:val="%1.%2.%3."/>
      <w:lvlJc w:val="left"/>
      <w:pPr>
        <w:ind w:left="3762" w:hanging="870"/>
      </w:pPr>
    </w:lvl>
    <w:lvl w:ilvl="3">
      <w:start w:val="1"/>
      <w:numFmt w:val="decimal"/>
      <w:lvlText w:val="%1.%2.%3.%4."/>
      <w:lvlJc w:val="left"/>
      <w:pPr>
        <w:ind w:left="5208" w:hanging="870"/>
      </w:pPr>
    </w:lvl>
    <w:lvl w:ilvl="4">
      <w:start w:val="1"/>
      <w:numFmt w:val="decimal"/>
      <w:lvlText w:val="%1.%2.%3.%4.%5."/>
      <w:lvlJc w:val="left"/>
      <w:pPr>
        <w:ind w:left="6864" w:hanging="1080"/>
      </w:pPr>
    </w:lvl>
    <w:lvl w:ilvl="5">
      <w:start w:val="1"/>
      <w:numFmt w:val="decimal"/>
      <w:lvlText w:val="%1.%2.%3.%4.%5.%6."/>
      <w:lvlJc w:val="left"/>
      <w:pPr>
        <w:ind w:left="8310" w:hanging="1080"/>
      </w:pPr>
    </w:lvl>
    <w:lvl w:ilvl="6">
      <w:start w:val="1"/>
      <w:numFmt w:val="decimal"/>
      <w:lvlText w:val="%1.%2.%3.%4.%5.%6.%7."/>
      <w:lvlJc w:val="left"/>
      <w:pPr>
        <w:ind w:left="10116" w:hanging="1440"/>
      </w:pPr>
    </w:lvl>
    <w:lvl w:ilvl="7">
      <w:start w:val="1"/>
      <w:numFmt w:val="decimal"/>
      <w:lvlText w:val="%1.%2.%3.%4.%5.%6.%7.%8."/>
      <w:lvlJc w:val="left"/>
      <w:pPr>
        <w:ind w:left="11562" w:hanging="1440"/>
      </w:pPr>
    </w:lvl>
    <w:lvl w:ilvl="8">
      <w:start w:val="1"/>
      <w:numFmt w:val="decimal"/>
      <w:lvlText w:val="%1.%2.%3.%4.%5.%6.%7.%8.%9."/>
      <w:lvlJc w:val="left"/>
      <w:pPr>
        <w:ind w:left="13368" w:hanging="1800"/>
      </w:pPr>
    </w:lvl>
  </w:abstractNum>
  <w:abstractNum w:abstractNumId="9">
    <w:nsid w:val="45593084"/>
    <w:multiLevelType w:val="multilevel"/>
    <w:tmpl w:val="CEDC68D6"/>
    <w:lvl w:ilvl="0">
      <w:start w:val="10"/>
      <w:numFmt w:val="decimal"/>
      <w:lvlText w:val="%1."/>
      <w:lvlJc w:val="left"/>
      <w:pPr>
        <w:ind w:left="870" w:hanging="870"/>
      </w:pPr>
    </w:lvl>
    <w:lvl w:ilvl="1">
      <w:start w:val="10"/>
      <w:numFmt w:val="decimal"/>
      <w:lvlText w:val="%1.%2."/>
      <w:lvlJc w:val="left"/>
      <w:pPr>
        <w:ind w:left="2316" w:hanging="870"/>
      </w:pPr>
    </w:lvl>
    <w:lvl w:ilvl="2">
      <w:start w:val="1"/>
      <w:numFmt w:val="decimal"/>
      <w:lvlText w:val="%1.%2.%3."/>
      <w:lvlJc w:val="left"/>
      <w:pPr>
        <w:ind w:left="3762" w:hanging="870"/>
      </w:pPr>
    </w:lvl>
    <w:lvl w:ilvl="3">
      <w:start w:val="1"/>
      <w:numFmt w:val="decimal"/>
      <w:lvlText w:val="%1.%2.%3.%4."/>
      <w:lvlJc w:val="left"/>
      <w:pPr>
        <w:ind w:left="5208" w:hanging="870"/>
      </w:pPr>
    </w:lvl>
    <w:lvl w:ilvl="4">
      <w:start w:val="1"/>
      <w:numFmt w:val="decimal"/>
      <w:lvlText w:val="%1.%2.%3.%4.%5."/>
      <w:lvlJc w:val="left"/>
      <w:pPr>
        <w:ind w:left="6864" w:hanging="1080"/>
      </w:pPr>
    </w:lvl>
    <w:lvl w:ilvl="5">
      <w:start w:val="1"/>
      <w:numFmt w:val="decimal"/>
      <w:lvlText w:val="%1.%2.%3.%4.%5.%6."/>
      <w:lvlJc w:val="left"/>
      <w:pPr>
        <w:ind w:left="8310" w:hanging="1080"/>
      </w:pPr>
    </w:lvl>
    <w:lvl w:ilvl="6">
      <w:start w:val="1"/>
      <w:numFmt w:val="decimal"/>
      <w:lvlText w:val="%1.%2.%3.%4.%5.%6.%7."/>
      <w:lvlJc w:val="left"/>
      <w:pPr>
        <w:ind w:left="10116" w:hanging="1440"/>
      </w:pPr>
    </w:lvl>
    <w:lvl w:ilvl="7">
      <w:start w:val="1"/>
      <w:numFmt w:val="decimal"/>
      <w:lvlText w:val="%1.%2.%3.%4.%5.%6.%7.%8."/>
      <w:lvlJc w:val="left"/>
      <w:pPr>
        <w:ind w:left="11562" w:hanging="1440"/>
      </w:pPr>
    </w:lvl>
    <w:lvl w:ilvl="8">
      <w:start w:val="1"/>
      <w:numFmt w:val="decimal"/>
      <w:lvlText w:val="%1.%2.%3.%4.%5.%6.%7.%8.%9."/>
      <w:lvlJc w:val="left"/>
      <w:pPr>
        <w:ind w:left="13368" w:hanging="1800"/>
      </w:pPr>
    </w:lvl>
  </w:abstractNum>
  <w:abstractNum w:abstractNumId="10">
    <w:nsid w:val="4EC05120"/>
    <w:multiLevelType w:val="multilevel"/>
    <w:tmpl w:val="C0B8F3F6"/>
    <w:lvl w:ilvl="0">
      <w:start w:val="1"/>
      <w:numFmt w:val="decimal"/>
      <w:lvlText w:val="%1."/>
      <w:lvlJc w:val="left"/>
      <w:pPr>
        <w:tabs>
          <w:tab w:val="num" w:pos="705"/>
        </w:tabs>
        <w:ind w:left="705" w:hanging="705"/>
      </w:pPr>
      <w:rPr>
        <w:rFonts w:ascii="Calibri" w:hAnsi="Calibri" w:hint="default"/>
        <w:b/>
        <w:i w:val="0"/>
        <w:color w:val="auto"/>
        <w:sz w:val="24"/>
      </w:rPr>
    </w:lvl>
    <w:lvl w:ilvl="1">
      <w:start w:val="1"/>
      <w:numFmt w:val="decimal"/>
      <w:lvlText w:val="%1.%2."/>
      <w:lvlJc w:val="left"/>
      <w:pPr>
        <w:tabs>
          <w:tab w:val="num" w:pos="567"/>
        </w:tabs>
        <w:ind w:left="567" w:hanging="567"/>
      </w:pPr>
      <w:rPr>
        <w:rFonts w:ascii="Calibri" w:hAnsi="Calibri" w:hint="default"/>
        <w:b/>
        <w:i w:val="0"/>
        <w:sz w:val="24"/>
      </w:rPr>
    </w:lvl>
    <w:lvl w:ilvl="2">
      <w:start w:val="1"/>
      <w:numFmt w:val="decimal"/>
      <w:lvlText w:val="%1.%2.%3."/>
      <w:lvlJc w:val="left"/>
      <w:pPr>
        <w:tabs>
          <w:tab w:val="num" w:pos="3612"/>
        </w:tabs>
        <w:ind w:left="3612" w:hanging="720"/>
      </w:pPr>
      <w:rPr>
        <w:rFonts w:ascii="Calibri" w:hAnsi="Calibri" w:hint="default"/>
        <w:b/>
        <w:i w:val="0"/>
        <w:sz w:val="24"/>
      </w:rPr>
    </w:lvl>
    <w:lvl w:ilvl="3">
      <w:start w:val="1"/>
      <w:numFmt w:val="decimal"/>
      <w:lvlText w:val="%1.%2-%3.%4."/>
      <w:lvlJc w:val="left"/>
      <w:pPr>
        <w:tabs>
          <w:tab w:val="num" w:pos="5418"/>
        </w:tabs>
        <w:ind w:left="5418" w:hanging="1080"/>
      </w:pPr>
      <w:rPr>
        <w:b/>
      </w:rPr>
    </w:lvl>
    <w:lvl w:ilvl="4">
      <w:start w:val="1"/>
      <w:numFmt w:val="decimal"/>
      <w:lvlText w:val="%1.%2-%3.%4.%5."/>
      <w:lvlJc w:val="left"/>
      <w:pPr>
        <w:tabs>
          <w:tab w:val="num" w:pos="6864"/>
        </w:tabs>
        <w:ind w:left="6864" w:hanging="1080"/>
      </w:pPr>
      <w:rPr>
        <w:b/>
      </w:rPr>
    </w:lvl>
    <w:lvl w:ilvl="5">
      <w:start w:val="1"/>
      <w:numFmt w:val="decimal"/>
      <w:lvlText w:val="%1.%2-%3.%4.%5.%6."/>
      <w:lvlJc w:val="left"/>
      <w:pPr>
        <w:tabs>
          <w:tab w:val="num" w:pos="8670"/>
        </w:tabs>
        <w:ind w:left="8670" w:hanging="1440"/>
      </w:pPr>
      <w:rPr>
        <w:b/>
      </w:rPr>
    </w:lvl>
    <w:lvl w:ilvl="6">
      <w:start w:val="1"/>
      <w:numFmt w:val="decimal"/>
      <w:lvlText w:val="%1.%2-%3.%4.%5.%6.%7."/>
      <w:lvlJc w:val="left"/>
      <w:pPr>
        <w:tabs>
          <w:tab w:val="num" w:pos="10116"/>
        </w:tabs>
        <w:ind w:left="10116" w:hanging="1440"/>
      </w:pPr>
      <w:rPr>
        <w:b/>
      </w:rPr>
    </w:lvl>
    <w:lvl w:ilvl="7">
      <w:start w:val="1"/>
      <w:numFmt w:val="decimal"/>
      <w:lvlText w:val="%1.%2-%3.%4.%5.%6.%7.%8."/>
      <w:lvlJc w:val="left"/>
      <w:pPr>
        <w:tabs>
          <w:tab w:val="num" w:pos="11922"/>
        </w:tabs>
        <w:ind w:left="11922" w:hanging="1800"/>
      </w:pPr>
      <w:rPr>
        <w:b/>
      </w:rPr>
    </w:lvl>
    <w:lvl w:ilvl="8">
      <w:start w:val="1"/>
      <w:numFmt w:val="decimal"/>
      <w:lvlText w:val="%1.%2-%3.%4.%5.%6.%7.%8.%9."/>
      <w:lvlJc w:val="left"/>
      <w:pPr>
        <w:tabs>
          <w:tab w:val="num" w:pos="13368"/>
        </w:tabs>
        <w:ind w:left="13368" w:hanging="1800"/>
      </w:pPr>
      <w:rPr>
        <w:b/>
      </w:rPr>
    </w:lvl>
  </w:abstractNum>
  <w:abstractNum w:abstractNumId="11">
    <w:nsid w:val="5A623D14"/>
    <w:multiLevelType w:val="hybridMultilevel"/>
    <w:tmpl w:val="CEB8FC64"/>
    <w:lvl w:ilvl="0" w:tplc="3560217C">
      <w:start w:val="1"/>
      <w:numFmt w:val="upperRoman"/>
      <w:lvlText w:val="%1."/>
      <w:lvlJc w:val="left"/>
      <w:pPr>
        <w:ind w:left="720" w:hanging="360"/>
      </w:pPr>
      <w:rPr>
        <w:rFonts w:ascii="Calibri" w:eastAsia="Calibri" w:hAnsi="Calibri" w:cs="Calibri"/>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2">
    <w:nsid w:val="709C62AE"/>
    <w:multiLevelType w:val="hybridMultilevel"/>
    <w:tmpl w:val="488CA6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363741A"/>
    <w:multiLevelType w:val="hybridMultilevel"/>
    <w:tmpl w:val="6764D954"/>
    <w:lvl w:ilvl="0" w:tplc="D0E68A2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76CB0BD0"/>
    <w:multiLevelType w:val="multilevel"/>
    <w:tmpl w:val="07524A7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6"/>
  </w:num>
  <w:num w:numId="3">
    <w:abstractNumId w:val="3"/>
  </w:num>
  <w:num w:numId="4">
    <w:abstractNumId w:val="4"/>
  </w:num>
  <w:num w:numId="5">
    <w:abstractNumId w:val="14"/>
  </w:num>
  <w:num w:numId="6">
    <w:abstractNumId w:val="12"/>
  </w:num>
  <w:num w:numId="7">
    <w:abstractNumId w:val="13"/>
  </w:num>
  <w:num w:numId="8">
    <w:abstractNumId w:val="0"/>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0"/>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0"/>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0"/>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B5"/>
    <w:rsid w:val="00007DD9"/>
    <w:rsid w:val="000265C6"/>
    <w:rsid w:val="00055CBE"/>
    <w:rsid w:val="000855E3"/>
    <w:rsid w:val="000A0621"/>
    <w:rsid w:val="000C2502"/>
    <w:rsid w:val="000D101D"/>
    <w:rsid w:val="000D5857"/>
    <w:rsid w:val="001B3B22"/>
    <w:rsid w:val="002C2156"/>
    <w:rsid w:val="002E60D3"/>
    <w:rsid w:val="00311C57"/>
    <w:rsid w:val="00351E3D"/>
    <w:rsid w:val="003B1EB5"/>
    <w:rsid w:val="003C0971"/>
    <w:rsid w:val="003D12A5"/>
    <w:rsid w:val="003E272D"/>
    <w:rsid w:val="003F66FC"/>
    <w:rsid w:val="004E5A89"/>
    <w:rsid w:val="005244AC"/>
    <w:rsid w:val="00564D78"/>
    <w:rsid w:val="005E3309"/>
    <w:rsid w:val="006B3DA6"/>
    <w:rsid w:val="006B3FD6"/>
    <w:rsid w:val="0072053F"/>
    <w:rsid w:val="00782CE7"/>
    <w:rsid w:val="007A2AA6"/>
    <w:rsid w:val="007B7711"/>
    <w:rsid w:val="009213E9"/>
    <w:rsid w:val="00923458"/>
    <w:rsid w:val="00947D0A"/>
    <w:rsid w:val="009B36A8"/>
    <w:rsid w:val="009F058C"/>
    <w:rsid w:val="009F3EEB"/>
    <w:rsid w:val="00A34941"/>
    <w:rsid w:val="00A74F4C"/>
    <w:rsid w:val="00AD66CE"/>
    <w:rsid w:val="00AF251A"/>
    <w:rsid w:val="00B150BD"/>
    <w:rsid w:val="00B96695"/>
    <w:rsid w:val="00BA276B"/>
    <w:rsid w:val="00BD5B4E"/>
    <w:rsid w:val="00C16FAD"/>
    <w:rsid w:val="00C33EA9"/>
    <w:rsid w:val="00C9145A"/>
    <w:rsid w:val="00CD7EC2"/>
    <w:rsid w:val="00DA5035"/>
    <w:rsid w:val="00E52A36"/>
    <w:rsid w:val="00F04F94"/>
    <w:rsid w:val="00F36B65"/>
    <w:rsid w:val="00F95683"/>
    <w:rsid w:val="00FC5E74"/>
    <w:rsid w:val="00FD4C4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uiPriority w:val="34"/>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styleId="Rodap">
    <w:name w:val="footer"/>
    <w:basedOn w:val="Normal"/>
    <w:link w:val="RodapChar"/>
    <w:uiPriority w:val="99"/>
    <w:unhideWhenUsed/>
    <w:rsid w:val="00C33EA9"/>
    <w:pPr>
      <w:tabs>
        <w:tab w:val="center" w:pos="4252"/>
        <w:tab w:val="right" w:pos="8504"/>
      </w:tabs>
    </w:pPr>
  </w:style>
  <w:style w:type="character" w:customStyle="1" w:styleId="RodapChar">
    <w:name w:val="Rodapé Char"/>
    <w:basedOn w:val="Fontepargpadro"/>
    <w:link w:val="Rodap"/>
    <w:uiPriority w:val="99"/>
    <w:rsid w:val="00C33EA9"/>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uiPriority w:val="34"/>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styleId="Rodap">
    <w:name w:val="footer"/>
    <w:basedOn w:val="Normal"/>
    <w:link w:val="RodapChar"/>
    <w:uiPriority w:val="99"/>
    <w:unhideWhenUsed/>
    <w:rsid w:val="00C33EA9"/>
    <w:pPr>
      <w:tabs>
        <w:tab w:val="center" w:pos="4252"/>
        <w:tab w:val="right" w:pos="8504"/>
      </w:tabs>
    </w:pPr>
  </w:style>
  <w:style w:type="character" w:customStyle="1" w:styleId="RodapChar">
    <w:name w:val="Rodapé Char"/>
    <w:basedOn w:val="Fontepargpadro"/>
    <w:link w:val="Rodap"/>
    <w:uiPriority w:val="99"/>
    <w:rsid w:val="00C33EA9"/>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mailto:secos@cfo.org.br"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ecos@cfo.org.br" TargetMode="External"/><Relationship Id="rId17" Type="http://schemas.openxmlformats.org/officeDocument/2006/relationships/hyperlink" Target="http://transparenciacfo.org.br" TargetMode="External"/><Relationship Id="rId2" Type="http://schemas.openxmlformats.org/officeDocument/2006/relationships/styles" Target="styles.xml"/><Relationship Id="rId16" Type="http://schemas.openxmlformats.org/officeDocument/2006/relationships/hyperlink" Target="http://www.comprasgovernamentais.gov.b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oempreendedor.gov.br" TargetMode="External"/><Relationship Id="rId5" Type="http://schemas.openxmlformats.org/officeDocument/2006/relationships/webSettings" Target="webSettings.xml"/><Relationship Id="rId15" Type="http://schemas.openxmlformats.org/officeDocument/2006/relationships/hyperlink" Target="http://transparenciacfo.org.br/" TargetMode="External"/><Relationship Id="rId10" Type="http://schemas.openxmlformats.org/officeDocument/2006/relationships/hyperlink" Target="http://certidoes-apf.apps.tcu.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comprasgovernamentais.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9140</Words>
  <Characters>49362</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Ramos</dc:creator>
  <cp:lastModifiedBy>Karine Ramos</cp:lastModifiedBy>
  <cp:revision>3</cp:revision>
  <cp:lastPrinted>2019-12-10T14:23:00Z</cp:lastPrinted>
  <dcterms:created xsi:type="dcterms:W3CDTF">2020-02-13T18:01:00Z</dcterms:created>
  <dcterms:modified xsi:type="dcterms:W3CDTF">2020-02-13T18:04:00Z</dcterms:modified>
</cp:coreProperties>
</file>